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64" w:rsidRPr="00DF398A" w:rsidRDefault="0016008C" w:rsidP="002F4A64">
      <w:pPr>
        <w:tabs>
          <w:tab w:val="left" w:pos="3402"/>
        </w:tabs>
        <w:spacing w:beforeLines="80" w:before="192" w:afterLines="80" w:after="192"/>
        <w:jc w:val="both"/>
        <w:rPr>
          <w:color w:val="454546" w:themeColor="text2" w:themeShade="80"/>
          <w:sz w:val="20"/>
          <w:szCs w:val="20"/>
        </w:rPr>
      </w:pPr>
      <w:r w:rsidRPr="00DF398A">
        <w:rPr>
          <w:noProof/>
          <w:color w:val="454546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1B0A4" wp14:editId="67D24BE2">
                <wp:simplePos x="0" y="0"/>
                <wp:positionH relativeFrom="column">
                  <wp:posOffset>2034540</wp:posOffset>
                </wp:positionH>
                <wp:positionV relativeFrom="paragraph">
                  <wp:posOffset>5080</wp:posOffset>
                </wp:positionV>
                <wp:extent cx="4067175" cy="840740"/>
                <wp:effectExtent l="0" t="0" r="28575" b="1651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40740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A64" w:rsidRDefault="002F4A64" w:rsidP="005F27A8">
                            <w:pPr>
                              <w:spacing w:after="0" w:line="240" w:lineRule="auto"/>
                              <w:ind w:right="113"/>
                              <w:jc w:val="center"/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</w:pPr>
                            <w:r w:rsidRPr="00284DB4"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  <w:t>Groupement de commandes</w:t>
                            </w:r>
                          </w:p>
                          <w:p w:rsidR="002F4A64" w:rsidRPr="00284DB4" w:rsidRDefault="002F4A64" w:rsidP="005F27A8">
                            <w:pPr>
                              <w:spacing w:after="0" w:line="240" w:lineRule="auto"/>
                              <w:ind w:right="113"/>
                              <w:jc w:val="center"/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84DB4"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Pr="00284DB4"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  <w:t xml:space="preserve"> fourniture d’</w:t>
                            </w:r>
                            <w:r w:rsidRPr="005B589B"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  <w:t>é</w:t>
                            </w:r>
                            <w:r w:rsidR="007777D7" w:rsidRPr="005B589B">
                              <w:rPr>
                                <w:rFonts w:ascii="Venacti Sb" w:hAnsi="Venacti Sb" w:cstheme="minorHAnsi"/>
                                <w:sz w:val="40"/>
                                <w:szCs w:val="40"/>
                              </w:rPr>
                              <w:t>nergie</w:t>
                            </w:r>
                          </w:p>
                          <w:p w:rsidR="002F4A64" w:rsidRDefault="002F4A64" w:rsidP="002F4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4" o:spid="_x0000_s1026" style="position:absolute;left:0;text-align:left;margin-left:160.2pt;margin-top:.4pt;width:320.25pt;height:6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67175,840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" adj="-11796480,,5400" path="m140126,l4067175,r,l4067175,700614v,77389,-62737,140126,-140126,140126l,840740r,l,140126c,62737,62737,,140126,xe" fillcolor="#8a8b8d [3215]" strokecolor="#8a8b8d [3215]" strokeweight="2pt">
                <v:stroke joinstyle="miter"/>
                <v:formulas/>
                <v:path arrowok="t" o:connecttype="custom" o:connectlocs="140126,0;4067175,0;4067175,0;4067175,700614;3927049,840740;0,840740;0,840740;0,140126;140126,0" o:connectangles="0,0,0,0,0,0,0,0,0" textboxrect="0,0,4067175,840740"/>
                <v:textbox>
                  <w:txbxContent>
                    <w:p w:rsidR="002F4A64" w:rsidRDefault="002F4A64" w:rsidP="005F27A8">
                      <w:pPr>
                        <w:spacing w:after="0" w:line="240" w:lineRule="auto"/>
                        <w:ind w:right="113"/>
                        <w:jc w:val="center"/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</w:pPr>
                      <w:r w:rsidRPr="00284DB4"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  <w:t>Groupement de commandes</w:t>
                      </w:r>
                    </w:p>
                    <w:p w:rsidR="002F4A64" w:rsidRPr="00284DB4" w:rsidRDefault="002F4A64" w:rsidP="005F27A8">
                      <w:pPr>
                        <w:spacing w:after="0" w:line="240" w:lineRule="auto"/>
                        <w:ind w:right="113"/>
                        <w:jc w:val="center"/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</w:pPr>
                      <w:proofErr w:type="gramStart"/>
                      <w:r w:rsidRPr="00284DB4"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Pr="00284DB4"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  <w:t xml:space="preserve"> fourniture d’</w:t>
                      </w:r>
                      <w:r w:rsidRPr="005B589B"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  <w:t>é</w:t>
                      </w:r>
                      <w:r w:rsidR="007777D7" w:rsidRPr="005B589B">
                        <w:rPr>
                          <w:rFonts w:ascii="Venacti Sb" w:hAnsi="Venacti Sb" w:cstheme="minorHAnsi"/>
                          <w:sz w:val="40"/>
                          <w:szCs w:val="40"/>
                        </w:rPr>
                        <w:t>nergie</w:t>
                      </w:r>
                    </w:p>
                    <w:p w:rsidR="002F4A64" w:rsidRDefault="002F4A64" w:rsidP="002F4A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4A64" w:rsidRPr="00DF398A">
        <w:rPr>
          <w:noProof/>
          <w:color w:val="454546" w:themeColor="text2" w:themeShade="80"/>
          <w:sz w:val="20"/>
          <w:szCs w:val="20"/>
        </w:rPr>
        <w:drawing>
          <wp:inline distT="0" distB="0" distL="0" distR="0" wp14:anchorId="02AFD5B8" wp14:editId="2EA69DA8">
            <wp:extent cx="1465848" cy="61912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DE2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51" cy="62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64" w:rsidRPr="00DF398A" w:rsidRDefault="002F4A64" w:rsidP="002F4A64">
      <w:pPr>
        <w:tabs>
          <w:tab w:val="left" w:pos="3402"/>
        </w:tabs>
        <w:spacing w:beforeLines="80" w:before="192" w:afterLines="80" w:after="192"/>
        <w:jc w:val="both"/>
        <w:rPr>
          <w:color w:val="454546" w:themeColor="text2" w:themeShade="80"/>
          <w:sz w:val="20"/>
          <w:szCs w:val="20"/>
        </w:rPr>
      </w:pPr>
      <w:bookmarkStart w:id="0" w:name="_GoBack"/>
      <w:bookmarkEnd w:id="0"/>
    </w:p>
    <w:p w:rsidR="006E6063" w:rsidRPr="00DF398A" w:rsidRDefault="006E6063" w:rsidP="00E7715E">
      <w:pPr>
        <w:spacing w:before="40" w:afterLines="40" w:after="96" w:line="240" w:lineRule="auto"/>
        <w:jc w:val="both"/>
        <w:rPr>
          <w:b/>
          <w:color w:val="454546" w:themeColor="text2" w:themeShade="80"/>
          <w:sz w:val="20"/>
          <w:szCs w:val="20"/>
        </w:rPr>
      </w:pPr>
      <w:r w:rsidRPr="00DF398A">
        <w:rPr>
          <w:b/>
          <w:color w:val="454546" w:themeColor="text2" w:themeShade="80"/>
          <w:sz w:val="20"/>
          <w:szCs w:val="20"/>
          <w:u w:val="single"/>
        </w:rPr>
        <w:t>Objet</w:t>
      </w:r>
      <w:r w:rsidRPr="00DF398A">
        <w:rPr>
          <w:b/>
          <w:color w:val="454546" w:themeColor="text2" w:themeShade="80"/>
          <w:sz w:val="20"/>
          <w:szCs w:val="20"/>
        </w:rPr>
        <w:t xml:space="preserve"> : Adhésion </w:t>
      </w:r>
      <w:r w:rsidR="00C064BC" w:rsidRPr="00DF398A">
        <w:rPr>
          <w:b/>
          <w:color w:val="454546" w:themeColor="text2" w:themeShade="80"/>
          <w:sz w:val="20"/>
          <w:szCs w:val="20"/>
        </w:rPr>
        <w:t>au</w:t>
      </w:r>
      <w:r w:rsidRPr="00DF398A">
        <w:rPr>
          <w:b/>
          <w:color w:val="454546" w:themeColor="text2" w:themeShade="80"/>
          <w:sz w:val="20"/>
          <w:szCs w:val="20"/>
        </w:rPr>
        <w:t xml:space="preserve"> groupement </w:t>
      </w:r>
      <w:r w:rsidR="002F4A64" w:rsidRPr="00DF398A">
        <w:rPr>
          <w:b/>
          <w:color w:val="454546" w:themeColor="text2" w:themeShade="80"/>
          <w:sz w:val="20"/>
          <w:szCs w:val="20"/>
        </w:rPr>
        <w:t xml:space="preserve">de commandes </w:t>
      </w:r>
      <w:r w:rsidRPr="00DF398A">
        <w:rPr>
          <w:b/>
          <w:color w:val="454546" w:themeColor="text2" w:themeShade="80"/>
          <w:sz w:val="20"/>
          <w:szCs w:val="20"/>
        </w:rPr>
        <w:t>et autorisation de signer les marchés et accords-cadres.</w:t>
      </w:r>
    </w:p>
    <w:p w:rsidR="00700831" w:rsidRPr="00DF398A" w:rsidRDefault="00700831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</w:p>
    <w:p w:rsidR="00C064BC" w:rsidRPr="00DF398A" w:rsidRDefault="00C064BC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  <w:u w:val="single"/>
        </w:rPr>
      </w:pPr>
      <w:r w:rsidRPr="00DF398A">
        <w:rPr>
          <w:color w:val="454546" w:themeColor="text2" w:themeShade="80"/>
          <w:sz w:val="20"/>
          <w:szCs w:val="20"/>
          <w:u w:val="single"/>
        </w:rPr>
        <w:t>Contexte local :</w:t>
      </w:r>
    </w:p>
    <w:p w:rsidR="00C064BC" w:rsidRPr="00DF398A" w:rsidRDefault="00C064BC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Conformément à ses statuts, le Syndicat Départemental d’Energie 35 est habilité à être coordonnateur de groupements de commandes.</w:t>
      </w:r>
    </w:p>
    <w:p w:rsidR="007777D7" w:rsidRDefault="00700831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Pour répondre aux obligations de l’ouverture du marché de l’électricité et dans une optique d’optimisation de la commande publique, le comité syndical du SDE35</w:t>
      </w:r>
      <w:r w:rsidR="00E7715E" w:rsidRPr="00DF398A">
        <w:rPr>
          <w:color w:val="454546" w:themeColor="text2" w:themeShade="80"/>
          <w:sz w:val="20"/>
          <w:szCs w:val="20"/>
        </w:rPr>
        <w:t>, réuni le 18 novembre</w:t>
      </w:r>
      <w:r w:rsidRPr="00DF398A">
        <w:rPr>
          <w:color w:val="454546" w:themeColor="text2" w:themeShade="80"/>
          <w:sz w:val="20"/>
          <w:szCs w:val="20"/>
        </w:rPr>
        <w:t xml:space="preserve"> 2014</w:t>
      </w:r>
      <w:r w:rsidR="008A4C74" w:rsidRPr="00DF398A">
        <w:rPr>
          <w:color w:val="454546" w:themeColor="text2" w:themeShade="80"/>
          <w:sz w:val="20"/>
          <w:szCs w:val="20"/>
        </w:rPr>
        <w:t>,</w:t>
      </w:r>
      <w:r w:rsidRPr="00DF398A">
        <w:rPr>
          <w:color w:val="454546" w:themeColor="text2" w:themeShade="80"/>
          <w:sz w:val="20"/>
          <w:szCs w:val="20"/>
        </w:rPr>
        <w:t xml:space="preserve"> a</w:t>
      </w:r>
      <w:r w:rsidR="007777D7">
        <w:rPr>
          <w:color w:val="454546" w:themeColor="text2" w:themeShade="80"/>
          <w:sz w:val="20"/>
          <w:szCs w:val="20"/>
        </w:rPr>
        <w:t>vait</w:t>
      </w:r>
      <w:r w:rsidRPr="00DF398A">
        <w:rPr>
          <w:color w:val="454546" w:themeColor="text2" w:themeShade="80"/>
          <w:sz w:val="20"/>
          <w:szCs w:val="20"/>
        </w:rPr>
        <w:t xml:space="preserve"> décidé de constituer un groupement de commande</w:t>
      </w:r>
      <w:r w:rsidR="00710748" w:rsidRPr="00DF398A">
        <w:rPr>
          <w:color w:val="454546" w:themeColor="text2" w:themeShade="80"/>
          <w:sz w:val="20"/>
          <w:szCs w:val="20"/>
        </w:rPr>
        <w:t>s</w:t>
      </w:r>
      <w:r w:rsidRPr="00DF398A">
        <w:rPr>
          <w:color w:val="454546" w:themeColor="text2" w:themeShade="80"/>
          <w:sz w:val="20"/>
          <w:szCs w:val="20"/>
        </w:rPr>
        <w:t xml:space="preserve"> pour l’achat </w:t>
      </w:r>
      <w:r w:rsidR="007777D7">
        <w:rPr>
          <w:color w:val="454546" w:themeColor="text2" w:themeShade="80"/>
          <w:sz w:val="20"/>
          <w:szCs w:val="20"/>
        </w:rPr>
        <w:t>d’électricité.</w:t>
      </w:r>
    </w:p>
    <w:p w:rsidR="00700831" w:rsidRPr="005B589B" w:rsidRDefault="007777D7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5B589B">
        <w:rPr>
          <w:color w:val="454546" w:themeColor="text2" w:themeShade="80"/>
          <w:sz w:val="20"/>
          <w:szCs w:val="20"/>
        </w:rPr>
        <w:t xml:space="preserve">Pour répondre à de nouveaux besoins et dans l’optique de poursuivre l’optimisation de la commande publique, le comité syndical du SDE35, réuni le 16 octobre 2018, a décidé de créer un nouveau groupement de commandes </w:t>
      </w:r>
      <w:r w:rsidR="00EC6A4F" w:rsidRPr="005B589B">
        <w:rPr>
          <w:color w:val="454546" w:themeColor="text2" w:themeShade="80"/>
          <w:sz w:val="20"/>
          <w:szCs w:val="20"/>
        </w:rPr>
        <w:t>« Énergie » permettant à la fois</w:t>
      </w:r>
      <w:r w:rsidRPr="005B589B">
        <w:rPr>
          <w:color w:val="454546" w:themeColor="text2" w:themeShade="80"/>
          <w:sz w:val="20"/>
          <w:szCs w:val="20"/>
        </w:rPr>
        <w:t xml:space="preserve"> l’achat d’électricité</w:t>
      </w:r>
      <w:r w:rsidR="00F56D9D" w:rsidRPr="005B589B">
        <w:rPr>
          <w:color w:val="454546" w:themeColor="text2" w:themeShade="80"/>
          <w:sz w:val="20"/>
          <w:szCs w:val="20"/>
        </w:rPr>
        <w:t xml:space="preserve"> et</w:t>
      </w:r>
      <w:r w:rsidRPr="005B589B">
        <w:rPr>
          <w:color w:val="454546" w:themeColor="text2" w:themeShade="80"/>
          <w:sz w:val="20"/>
          <w:szCs w:val="20"/>
        </w:rPr>
        <w:t xml:space="preserve"> gaz</w:t>
      </w:r>
      <w:r w:rsidR="00700831" w:rsidRPr="005B589B">
        <w:rPr>
          <w:color w:val="454546" w:themeColor="text2" w:themeShade="80"/>
          <w:sz w:val="20"/>
          <w:szCs w:val="20"/>
        </w:rPr>
        <w:t>.</w:t>
      </w:r>
      <w:r w:rsidRPr="005B589B">
        <w:rPr>
          <w:color w:val="454546" w:themeColor="text2" w:themeShade="80"/>
          <w:sz w:val="20"/>
          <w:szCs w:val="20"/>
        </w:rPr>
        <w:t xml:space="preserve"> </w:t>
      </w:r>
    </w:p>
    <w:p w:rsidR="00E7715E" w:rsidRPr="00DF398A" w:rsidRDefault="00700831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Le comité syndical du SDE35, réuni le </w:t>
      </w:r>
      <w:r w:rsidR="007777D7" w:rsidRPr="005B589B">
        <w:rPr>
          <w:color w:val="454546" w:themeColor="text2" w:themeShade="80"/>
          <w:sz w:val="20"/>
          <w:szCs w:val="20"/>
        </w:rPr>
        <w:t xml:space="preserve">16 octobre 2018 </w:t>
      </w:r>
      <w:r w:rsidR="00E7715E" w:rsidRPr="00DF398A">
        <w:rPr>
          <w:color w:val="454546" w:themeColor="text2" w:themeShade="80"/>
          <w:sz w:val="20"/>
          <w:szCs w:val="20"/>
        </w:rPr>
        <w:t>a validé la convention constitutive du groupement de commande</w:t>
      </w:r>
      <w:r w:rsidR="008A4C74" w:rsidRPr="00DF398A">
        <w:rPr>
          <w:color w:val="454546" w:themeColor="text2" w:themeShade="80"/>
          <w:sz w:val="20"/>
          <w:szCs w:val="20"/>
        </w:rPr>
        <w:t>s</w:t>
      </w:r>
      <w:r w:rsidR="00E7715E" w:rsidRPr="00DF398A">
        <w:rPr>
          <w:color w:val="454546" w:themeColor="text2" w:themeShade="80"/>
          <w:sz w:val="20"/>
          <w:szCs w:val="20"/>
        </w:rPr>
        <w:t xml:space="preserve"> </w:t>
      </w:r>
      <w:r w:rsidR="00710748" w:rsidRPr="00DF398A">
        <w:rPr>
          <w:color w:val="454546" w:themeColor="text2" w:themeShade="80"/>
          <w:sz w:val="20"/>
          <w:szCs w:val="20"/>
        </w:rPr>
        <w:t>annexée à la présente délibération</w:t>
      </w:r>
      <w:r w:rsidR="00E7715E" w:rsidRPr="00DF398A">
        <w:rPr>
          <w:color w:val="454546" w:themeColor="text2" w:themeShade="80"/>
          <w:sz w:val="20"/>
          <w:szCs w:val="20"/>
        </w:rPr>
        <w:t>.</w:t>
      </w:r>
    </w:p>
    <w:p w:rsidR="00700831" w:rsidRPr="00DF398A" w:rsidRDefault="00E7715E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Celle-ci a une durée permanente.</w:t>
      </w:r>
    </w:p>
    <w:p w:rsidR="00E7715E" w:rsidRPr="00DF398A" w:rsidRDefault="00E7715E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5B589B">
        <w:rPr>
          <w:color w:val="454546" w:themeColor="text2" w:themeShade="80"/>
          <w:sz w:val="20"/>
          <w:szCs w:val="20"/>
        </w:rPr>
        <w:t>L</w:t>
      </w:r>
      <w:r w:rsidR="007777D7" w:rsidRPr="005B589B">
        <w:rPr>
          <w:color w:val="454546" w:themeColor="text2" w:themeShade="80"/>
          <w:sz w:val="20"/>
          <w:szCs w:val="20"/>
        </w:rPr>
        <w:t>es</w:t>
      </w:r>
      <w:r w:rsidR="00A04307" w:rsidRPr="005B589B">
        <w:rPr>
          <w:color w:val="454546" w:themeColor="text2" w:themeShade="80"/>
          <w:sz w:val="20"/>
          <w:szCs w:val="20"/>
        </w:rPr>
        <w:t xml:space="preserve"> c</w:t>
      </w:r>
      <w:r w:rsidR="00710748" w:rsidRPr="005B589B">
        <w:rPr>
          <w:color w:val="454546" w:themeColor="text2" w:themeShade="80"/>
          <w:sz w:val="20"/>
          <w:szCs w:val="20"/>
        </w:rPr>
        <w:t>ommission</w:t>
      </w:r>
      <w:r w:rsidR="007777D7" w:rsidRPr="005B589B">
        <w:rPr>
          <w:color w:val="454546" w:themeColor="text2" w:themeShade="80"/>
          <w:sz w:val="20"/>
          <w:szCs w:val="20"/>
        </w:rPr>
        <w:t>s</w:t>
      </w:r>
      <w:r w:rsidR="00710748" w:rsidRPr="005B589B">
        <w:rPr>
          <w:color w:val="454546" w:themeColor="text2" w:themeShade="80"/>
          <w:sz w:val="20"/>
          <w:szCs w:val="20"/>
        </w:rPr>
        <w:t xml:space="preserve"> d’</w:t>
      </w:r>
      <w:r w:rsidR="00A04307" w:rsidRPr="005B589B">
        <w:rPr>
          <w:color w:val="454546" w:themeColor="text2" w:themeShade="80"/>
          <w:sz w:val="20"/>
          <w:szCs w:val="20"/>
        </w:rPr>
        <w:t>a</w:t>
      </w:r>
      <w:r w:rsidR="00710748" w:rsidRPr="005B589B">
        <w:rPr>
          <w:color w:val="454546" w:themeColor="text2" w:themeShade="80"/>
          <w:sz w:val="20"/>
          <w:szCs w:val="20"/>
        </w:rPr>
        <w:t>ppel d’</w:t>
      </w:r>
      <w:r w:rsidR="00A04307" w:rsidRPr="005B589B">
        <w:rPr>
          <w:color w:val="454546" w:themeColor="text2" w:themeShade="80"/>
          <w:sz w:val="20"/>
          <w:szCs w:val="20"/>
        </w:rPr>
        <w:t>o</w:t>
      </w:r>
      <w:r w:rsidR="007777D7" w:rsidRPr="005B589B">
        <w:rPr>
          <w:color w:val="454546" w:themeColor="text2" w:themeShade="80"/>
          <w:sz w:val="20"/>
          <w:szCs w:val="20"/>
        </w:rPr>
        <w:t xml:space="preserve">ffres </w:t>
      </w:r>
      <w:r w:rsidR="00710748" w:rsidRPr="005B589B">
        <w:rPr>
          <w:color w:val="454546" w:themeColor="text2" w:themeShade="80"/>
          <w:sz w:val="20"/>
          <w:szCs w:val="20"/>
        </w:rPr>
        <w:t>s</w:t>
      </w:r>
      <w:r w:rsidR="007777D7" w:rsidRPr="005B589B">
        <w:rPr>
          <w:color w:val="454546" w:themeColor="text2" w:themeShade="80"/>
          <w:sz w:val="20"/>
          <w:szCs w:val="20"/>
        </w:rPr>
        <w:t>on</w:t>
      </w:r>
      <w:r w:rsidR="00710748" w:rsidRPr="005B589B">
        <w:rPr>
          <w:color w:val="454546" w:themeColor="text2" w:themeShade="80"/>
          <w:sz w:val="20"/>
          <w:szCs w:val="20"/>
        </w:rPr>
        <w:t>t</w:t>
      </w:r>
      <w:r w:rsidRPr="005B589B">
        <w:rPr>
          <w:color w:val="454546" w:themeColor="text2" w:themeShade="80"/>
          <w:sz w:val="20"/>
          <w:szCs w:val="20"/>
        </w:rPr>
        <w:t xml:space="preserve"> celle</w:t>
      </w:r>
      <w:r w:rsidR="007777D7" w:rsidRPr="005B589B">
        <w:rPr>
          <w:color w:val="454546" w:themeColor="text2" w:themeShade="80"/>
          <w:sz w:val="20"/>
          <w:szCs w:val="20"/>
        </w:rPr>
        <w:t>s</w:t>
      </w:r>
      <w:r w:rsidRPr="005B589B">
        <w:rPr>
          <w:color w:val="454546" w:themeColor="text2" w:themeShade="80"/>
          <w:sz w:val="20"/>
          <w:szCs w:val="20"/>
        </w:rPr>
        <w:t xml:space="preserve"> du SDE35</w:t>
      </w:r>
      <w:r w:rsidRPr="00DF398A">
        <w:rPr>
          <w:color w:val="454546" w:themeColor="text2" w:themeShade="80"/>
          <w:sz w:val="20"/>
          <w:szCs w:val="20"/>
        </w:rPr>
        <w:t xml:space="preserve">, coordonnateur du groupement, chargé de la passation des marchés d’achat </w:t>
      </w:r>
      <w:r w:rsidR="002F4A64" w:rsidRPr="00DF398A">
        <w:rPr>
          <w:color w:val="454546" w:themeColor="text2" w:themeShade="80"/>
          <w:sz w:val="20"/>
          <w:szCs w:val="20"/>
        </w:rPr>
        <w:t>d’</w:t>
      </w:r>
      <w:r w:rsidR="002F4A64" w:rsidRPr="005B589B">
        <w:rPr>
          <w:color w:val="454546" w:themeColor="text2" w:themeShade="80"/>
          <w:sz w:val="20"/>
          <w:szCs w:val="20"/>
        </w:rPr>
        <w:t>é</w:t>
      </w:r>
      <w:r w:rsidR="007777D7" w:rsidRPr="005B589B">
        <w:rPr>
          <w:color w:val="454546" w:themeColor="text2" w:themeShade="80"/>
          <w:sz w:val="20"/>
          <w:szCs w:val="20"/>
        </w:rPr>
        <w:t>nergie</w:t>
      </w:r>
      <w:r w:rsidRPr="00DF398A">
        <w:rPr>
          <w:color w:val="454546" w:themeColor="text2" w:themeShade="80"/>
          <w:sz w:val="20"/>
          <w:szCs w:val="20"/>
        </w:rPr>
        <w:t>.</w:t>
      </w:r>
    </w:p>
    <w:p w:rsidR="00E7715E" w:rsidRPr="00DF398A" w:rsidRDefault="00E7715E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L’exécution </w:t>
      </w:r>
      <w:r w:rsidR="00C064BC" w:rsidRPr="00DF398A">
        <w:rPr>
          <w:color w:val="454546" w:themeColor="text2" w:themeShade="80"/>
          <w:sz w:val="20"/>
          <w:szCs w:val="20"/>
        </w:rPr>
        <w:t xml:space="preserve">des marchés est assurée par </w:t>
      </w:r>
      <w:r w:rsidR="001408D2" w:rsidRPr="001408D2">
        <w:rPr>
          <w:color w:val="FF0000"/>
          <w:sz w:val="20"/>
          <w:szCs w:val="20"/>
        </w:rPr>
        <w:t>[</w:t>
      </w:r>
      <w:r w:rsidR="00C064BC" w:rsidRPr="001408D2">
        <w:rPr>
          <w:color w:val="FF0000"/>
          <w:sz w:val="20"/>
          <w:szCs w:val="20"/>
        </w:rPr>
        <w:t>la c</w:t>
      </w:r>
      <w:r w:rsidRPr="001408D2">
        <w:rPr>
          <w:color w:val="FF0000"/>
          <w:sz w:val="20"/>
          <w:szCs w:val="20"/>
        </w:rPr>
        <w:t>ommune</w:t>
      </w:r>
      <w:r w:rsidR="00233300">
        <w:rPr>
          <w:color w:val="FF0000"/>
          <w:sz w:val="20"/>
          <w:szCs w:val="20"/>
        </w:rPr>
        <w:t xml:space="preserve"> de </w:t>
      </w:r>
      <w:r w:rsidR="00EC6A4F">
        <w:rPr>
          <w:color w:val="FF0000"/>
          <w:sz w:val="20"/>
          <w:szCs w:val="20"/>
        </w:rPr>
        <w:t>/ le CCAS de / la communauté de commune de…</w:t>
      </w:r>
      <w:r w:rsidR="00233300">
        <w:rPr>
          <w:color w:val="FF0000"/>
          <w:sz w:val="20"/>
          <w:szCs w:val="20"/>
        </w:rPr>
        <w:t>]</w:t>
      </w:r>
      <w:r w:rsidRPr="00DF398A">
        <w:rPr>
          <w:color w:val="454546" w:themeColor="text2" w:themeShade="80"/>
          <w:sz w:val="20"/>
          <w:szCs w:val="20"/>
        </w:rPr>
        <w:t xml:space="preserve">. </w:t>
      </w:r>
    </w:p>
    <w:p w:rsidR="00700831" w:rsidRPr="00DF398A" w:rsidRDefault="00700831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</w:p>
    <w:p w:rsidR="00700831" w:rsidRPr="00DF398A" w:rsidRDefault="00C064BC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  <w:u w:val="single"/>
        </w:rPr>
      </w:pPr>
      <w:r w:rsidRPr="00DF398A">
        <w:rPr>
          <w:color w:val="454546" w:themeColor="text2" w:themeShade="80"/>
          <w:sz w:val="20"/>
          <w:szCs w:val="20"/>
          <w:u w:val="single"/>
        </w:rPr>
        <w:t>Contexte réglementaire :</w:t>
      </w:r>
    </w:p>
    <w:p w:rsidR="006E6063" w:rsidRPr="00DF398A" w:rsidRDefault="006E6063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Vu la loi du 7 décembre 2010 portant nouvelle organisation du marché de l’électricité,</w:t>
      </w:r>
    </w:p>
    <w:p w:rsidR="008921D5" w:rsidRPr="00DF398A" w:rsidRDefault="008921D5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Vu </w:t>
      </w:r>
      <w:r w:rsidR="008A1FC0">
        <w:rPr>
          <w:color w:val="454546" w:themeColor="text2" w:themeShade="80"/>
          <w:sz w:val="20"/>
          <w:szCs w:val="20"/>
        </w:rPr>
        <w:t>l</w:t>
      </w:r>
      <w:r w:rsidR="008A1FC0" w:rsidRPr="008A1FC0">
        <w:rPr>
          <w:color w:val="454546" w:themeColor="text2" w:themeShade="80"/>
          <w:sz w:val="20"/>
          <w:szCs w:val="20"/>
        </w:rPr>
        <w:t>’ordonnance n°2015-899 du 23 juillet 2015 et le décret n°2016-360 du 25 mars 2016 relatifs aux marchés publics</w:t>
      </w:r>
      <w:r w:rsidRPr="00DF398A">
        <w:rPr>
          <w:color w:val="454546" w:themeColor="text2" w:themeShade="80"/>
          <w:sz w:val="20"/>
          <w:szCs w:val="20"/>
        </w:rPr>
        <w:t>,</w:t>
      </w:r>
    </w:p>
    <w:p w:rsidR="008921D5" w:rsidRPr="00DF398A" w:rsidRDefault="00CA1D58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Vu le Code </w:t>
      </w:r>
      <w:r w:rsidR="000310F3" w:rsidRPr="00DF398A">
        <w:rPr>
          <w:color w:val="454546" w:themeColor="text2" w:themeShade="80"/>
          <w:sz w:val="20"/>
          <w:szCs w:val="20"/>
        </w:rPr>
        <w:t>g</w:t>
      </w:r>
      <w:r w:rsidRPr="00DF398A">
        <w:rPr>
          <w:color w:val="454546" w:themeColor="text2" w:themeShade="80"/>
          <w:sz w:val="20"/>
          <w:szCs w:val="20"/>
        </w:rPr>
        <w:t xml:space="preserve">énéral des </w:t>
      </w:r>
      <w:r w:rsidR="000310F3" w:rsidRPr="00DF398A">
        <w:rPr>
          <w:color w:val="454546" w:themeColor="text2" w:themeShade="80"/>
          <w:sz w:val="20"/>
          <w:szCs w:val="20"/>
        </w:rPr>
        <w:t>collectivités t</w:t>
      </w:r>
      <w:r w:rsidRPr="00DF398A">
        <w:rPr>
          <w:color w:val="454546" w:themeColor="text2" w:themeShade="80"/>
          <w:sz w:val="20"/>
          <w:szCs w:val="20"/>
        </w:rPr>
        <w:t>erritoriales,</w:t>
      </w:r>
    </w:p>
    <w:p w:rsidR="005B589B" w:rsidRDefault="005B589B" w:rsidP="00AD14EB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Vu la délibérati</w:t>
      </w:r>
      <w:r w:rsidRPr="004268E1">
        <w:rPr>
          <w:color w:val="454546" w:themeColor="text2" w:themeShade="80"/>
          <w:sz w:val="20"/>
          <w:szCs w:val="20"/>
        </w:rPr>
        <w:t>on N° 2</w:t>
      </w:r>
      <w:r>
        <w:rPr>
          <w:color w:val="454546" w:themeColor="text2" w:themeShade="80"/>
          <w:sz w:val="20"/>
          <w:szCs w:val="20"/>
        </w:rPr>
        <w:t xml:space="preserve">0181016_COM_06 prise par le comité syndical du SDE35 </w:t>
      </w:r>
      <w:r w:rsidRPr="00684DC7">
        <w:rPr>
          <w:color w:val="454546" w:themeColor="text2" w:themeShade="80"/>
          <w:sz w:val="20"/>
          <w:szCs w:val="20"/>
        </w:rPr>
        <w:t>le 16 octobre 2018</w:t>
      </w:r>
      <w:r>
        <w:rPr>
          <w:color w:val="454546" w:themeColor="text2" w:themeShade="80"/>
          <w:sz w:val="20"/>
          <w:szCs w:val="20"/>
        </w:rPr>
        <w:t>,</w:t>
      </w:r>
      <w:r w:rsidRPr="00DF398A">
        <w:rPr>
          <w:color w:val="454546" w:themeColor="text2" w:themeShade="80"/>
          <w:sz w:val="20"/>
          <w:szCs w:val="20"/>
        </w:rPr>
        <w:t xml:space="preserve"> décidant de la </w:t>
      </w:r>
      <w:r>
        <w:rPr>
          <w:color w:val="454546" w:themeColor="text2" w:themeShade="80"/>
          <w:sz w:val="20"/>
          <w:szCs w:val="20"/>
        </w:rPr>
        <w:t xml:space="preserve">dissolution du groupement de commandes d’électricité </w:t>
      </w:r>
      <w:r w:rsidRPr="006B316A">
        <w:rPr>
          <w:color w:val="454546" w:themeColor="text2" w:themeShade="80"/>
          <w:sz w:val="20"/>
          <w:szCs w:val="20"/>
        </w:rPr>
        <w:t>à l’issue des marchés en cours ou attribués</w:t>
      </w:r>
      <w:r>
        <w:rPr>
          <w:color w:val="454546" w:themeColor="text2" w:themeShade="80"/>
          <w:sz w:val="20"/>
          <w:szCs w:val="20"/>
        </w:rPr>
        <w:t xml:space="preserve"> et</w:t>
      </w:r>
      <w:r w:rsidRPr="00DF398A">
        <w:rPr>
          <w:color w:val="454546" w:themeColor="text2" w:themeShade="80"/>
          <w:sz w:val="20"/>
          <w:szCs w:val="20"/>
        </w:rPr>
        <w:t xml:space="preserve"> de la création d’un groupement de commandes de fourniture d’</w:t>
      </w:r>
      <w:r w:rsidRPr="00684DC7">
        <w:rPr>
          <w:color w:val="454546" w:themeColor="text2" w:themeShade="80"/>
          <w:sz w:val="20"/>
          <w:szCs w:val="20"/>
        </w:rPr>
        <w:t>énergie</w:t>
      </w:r>
      <w:r>
        <w:rPr>
          <w:color w:val="454546" w:themeColor="text2" w:themeShade="80"/>
          <w:sz w:val="20"/>
          <w:szCs w:val="20"/>
        </w:rPr>
        <w:t xml:space="preserve"> </w:t>
      </w:r>
      <w:r w:rsidRPr="006B316A">
        <w:rPr>
          <w:color w:val="454546" w:themeColor="text2" w:themeShade="80"/>
          <w:sz w:val="20"/>
          <w:szCs w:val="20"/>
        </w:rPr>
        <w:t>tel que défini dans la convention de groupement</w:t>
      </w:r>
      <w:r>
        <w:rPr>
          <w:color w:val="454546" w:themeColor="text2" w:themeShade="80"/>
          <w:sz w:val="20"/>
          <w:szCs w:val="20"/>
        </w:rPr>
        <w:t xml:space="preserve"> annexée</w:t>
      </w:r>
      <w:r w:rsidRPr="00DF398A">
        <w:rPr>
          <w:color w:val="454546" w:themeColor="text2" w:themeShade="80"/>
          <w:sz w:val="20"/>
          <w:szCs w:val="20"/>
        </w:rPr>
        <w:t>,</w:t>
      </w:r>
    </w:p>
    <w:p w:rsidR="00AD14EB" w:rsidRDefault="00AD14EB" w:rsidP="00AD14EB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Vu la convention constitutive du groupement de commandes de fourniture d’é</w:t>
      </w:r>
      <w:r w:rsidR="00F56D9D">
        <w:rPr>
          <w:color w:val="454546" w:themeColor="text2" w:themeShade="80"/>
          <w:sz w:val="20"/>
          <w:szCs w:val="20"/>
        </w:rPr>
        <w:t>nergie</w:t>
      </w:r>
      <w:r w:rsidRPr="00DF398A">
        <w:rPr>
          <w:color w:val="454546" w:themeColor="text2" w:themeShade="80"/>
          <w:sz w:val="20"/>
          <w:szCs w:val="20"/>
        </w:rPr>
        <w:t xml:space="preserve"> </w:t>
      </w:r>
      <w:r w:rsidR="00710748" w:rsidRPr="00DF398A">
        <w:rPr>
          <w:color w:val="454546" w:themeColor="text2" w:themeShade="80"/>
          <w:sz w:val="20"/>
          <w:szCs w:val="20"/>
        </w:rPr>
        <w:t>du SDE35 annexée à la présente délibération</w:t>
      </w:r>
      <w:r w:rsidRPr="00DF398A">
        <w:rPr>
          <w:color w:val="454546" w:themeColor="text2" w:themeShade="80"/>
          <w:sz w:val="20"/>
          <w:szCs w:val="20"/>
        </w:rPr>
        <w:t>,</w:t>
      </w:r>
    </w:p>
    <w:p w:rsidR="00DF398A" w:rsidRPr="00DF398A" w:rsidRDefault="00DF398A" w:rsidP="00AD14EB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</w:p>
    <w:p w:rsidR="00C064BC" w:rsidRPr="00DF398A" w:rsidRDefault="00C064BC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  <w:u w:val="single"/>
        </w:rPr>
      </w:pPr>
      <w:r w:rsidRPr="00DF398A">
        <w:rPr>
          <w:color w:val="454546" w:themeColor="text2" w:themeShade="80"/>
          <w:sz w:val="20"/>
          <w:szCs w:val="20"/>
          <w:u w:val="single"/>
        </w:rPr>
        <w:t>Décision :</w:t>
      </w:r>
    </w:p>
    <w:p w:rsidR="000303F7" w:rsidRPr="00DF398A" w:rsidRDefault="000303F7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Et considérant qu’il est dans l’intérêt de </w:t>
      </w:r>
      <w:r w:rsidR="001408D2" w:rsidRPr="001408D2">
        <w:rPr>
          <w:color w:val="FF0000"/>
          <w:sz w:val="20"/>
          <w:szCs w:val="20"/>
        </w:rPr>
        <w:t>[la commune</w:t>
      </w:r>
      <w:r w:rsidR="00EC6A4F">
        <w:rPr>
          <w:color w:val="FF0000"/>
          <w:sz w:val="20"/>
          <w:szCs w:val="20"/>
        </w:rPr>
        <w:t xml:space="preserve"> / le CCAS de / la communauté de commune de…</w:t>
      </w:r>
      <w:r w:rsidR="001408D2">
        <w:rPr>
          <w:color w:val="FF0000"/>
          <w:sz w:val="20"/>
          <w:szCs w:val="20"/>
        </w:rPr>
        <w:t xml:space="preserve">] </w:t>
      </w:r>
      <w:r w:rsidRPr="00DF398A">
        <w:rPr>
          <w:color w:val="454546" w:themeColor="text2" w:themeShade="80"/>
          <w:sz w:val="20"/>
          <w:szCs w:val="20"/>
        </w:rPr>
        <w:t>d’adhérer à un groupement de c</w:t>
      </w:r>
      <w:r w:rsidR="005B589B">
        <w:rPr>
          <w:color w:val="454546" w:themeColor="text2" w:themeShade="80"/>
          <w:sz w:val="20"/>
          <w:szCs w:val="20"/>
        </w:rPr>
        <w:t>ommandes pour l’achat d’</w:t>
      </w:r>
      <w:r w:rsidR="00EC6A4F" w:rsidRPr="005B589B">
        <w:rPr>
          <w:color w:val="454546" w:themeColor="text2" w:themeShade="80"/>
          <w:sz w:val="20"/>
          <w:szCs w:val="20"/>
        </w:rPr>
        <w:t>énergie</w:t>
      </w:r>
      <w:r w:rsidR="00362208" w:rsidRPr="00DF398A">
        <w:rPr>
          <w:color w:val="454546" w:themeColor="text2" w:themeShade="80"/>
          <w:sz w:val="20"/>
          <w:szCs w:val="20"/>
        </w:rPr>
        <w:t>,</w:t>
      </w:r>
    </w:p>
    <w:p w:rsidR="006E6063" w:rsidRPr="00DF398A" w:rsidRDefault="006E6063" w:rsidP="00E7715E">
      <w:pPr>
        <w:spacing w:before="40" w:afterLines="40" w:after="96" w:line="240" w:lineRule="auto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Après en avoir délibéré, le </w:t>
      </w:r>
      <w:r w:rsidR="001408D2" w:rsidRPr="001408D2">
        <w:rPr>
          <w:color w:val="FF0000"/>
          <w:sz w:val="20"/>
          <w:szCs w:val="20"/>
        </w:rPr>
        <w:t>[</w:t>
      </w:r>
      <w:r w:rsidRPr="001408D2">
        <w:rPr>
          <w:color w:val="FF0000"/>
          <w:sz w:val="20"/>
          <w:szCs w:val="20"/>
        </w:rPr>
        <w:t>Conseil municipal</w:t>
      </w:r>
      <w:r w:rsidR="001408D2" w:rsidRPr="001408D2">
        <w:rPr>
          <w:color w:val="FF0000"/>
          <w:sz w:val="20"/>
          <w:szCs w:val="20"/>
        </w:rPr>
        <w:t>]</w:t>
      </w:r>
      <w:r w:rsidRPr="001408D2">
        <w:rPr>
          <w:color w:val="FF0000"/>
          <w:sz w:val="20"/>
          <w:szCs w:val="20"/>
        </w:rPr>
        <w:t xml:space="preserve"> </w:t>
      </w:r>
      <w:r w:rsidRPr="00DF398A">
        <w:rPr>
          <w:color w:val="454546" w:themeColor="text2" w:themeShade="80"/>
          <w:sz w:val="20"/>
          <w:szCs w:val="20"/>
        </w:rPr>
        <w:t xml:space="preserve">décide : </w:t>
      </w:r>
    </w:p>
    <w:p w:rsidR="00362208" w:rsidRPr="00DF398A" w:rsidRDefault="00362208" w:rsidP="00362208">
      <w:pPr>
        <w:pStyle w:val="Paragraphedeliste"/>
        <w:numPr>
          <w:ilvl w:val="0"/>
          <w:numId w:val="2"/>
        </w:numPr>
        <w:spacing w:before="40" w:afterLines="40" w:after="96"/>
        <w:ind w:left="567" w:hanging="357"/>
        <w:contextualSpacing w:val="0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>d’accepter les termes de la convention constitutive du groupement de commandes de fourniture</w:t>
      </w:r>
      <w:r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 xml:space="preserve"> d’</w:t>
      </w:r>
      <w:r w:rsidR="00EC6A4F"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>énergie</w:t>
      </w:r>
      <w:r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 xml:space="preserve">, </w:t>
      </w:r>
      <w:r w:rsidRPr="00DF398A">
        <w:rPr>
          <w:color w:val="454546" w:themeColor="text2" w:themeShade="80"/>
          <w:sz w:val="20"/>
          <w:szCs w:val="20"/>
        </w:rPr>
        <w:t>annexée à la présente délibération ;</w:t>
      </w:r>
    </w:p>
    <w:p w:rsidR="00EE047E" w:rsidRPr="00DF398A" w:rsidRDefault="00EE047E" w:rsidP="00EE047E">
      <w:pPr>
        <w:pStyle w:val="Paragraphedeliste"/>
        <w:numPr>
          <w:ilvl w:val="0"/>
          <w:numId w:val="2"/>
        </w:numPr>
        <w:spacing w:before="40" w:afterLines="40" w:after="96"/>
        <w:ind w:left="567" w:hanging="357"/>
        <w:contextualSpacing w:val="0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d’autoriser l’adhésion de </w:t>
      </w:r>
      <w:r w:rsidR="001408D2" w:rsidRPr="001408D2">
        <w:rPr>
          <w:color w:val="FF0000"/>
          <w:sz w:val="20"/>
          <w:szCs w:val="20"/>
        </w:rPr>
        <w:t>[la commune</w:t>
      </w:r>
      <w:r w:rsidR="00EC6A4F">
        <w:rPr>
          <w:color w:val="FF0000"/>
          <w:sz w:val="20"/>
          <w:szCs w:val="20"/>
        </w:rPr>
        <w:t xml:space="preserve"> / le CCAS de / la communauté de commune de…</w:t>
      </w:r>
      <w:r w:rsidR="001408D2">
        <w:rPr>
          <w:color w:val="FF0000"/>
          <w:sz w:val="20"/>
          <w:szCs w:val="20"/>
        </w:rPr>
        <w:t xml:space="preserve">] </w:t>
      </w:r>
      <w:r w:rsidRPr="00DF398A">
        <w:rPr>
          <w:color w:val="454546" w:themeColor="text2" w:themeShade="80"/>
          <w:sz w:val="20"/>
          <w:szCs w:val="20"/>
        </w:rPr>
        <w:t xml:space="preserve">au groupement de commandes </w:t>
      </w:r>
      <w:r w:rsidR="00362208" w:rsidRPr="00DF398A">
        <w:rPr>
          <w:color w:val="454546" w:themeColor="text2" w:themeShade="80"/>
          <w:sz w:val="20"/>
          <w:szCs w:val="20"/>
        </w:rPr>
        <w:t>de fourniture</w:t>
      </w:r>
      <w:r w:rsidR="00362208"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 xml:space="preserve"> d’</w:t>
      </w:r>
      <w:r w:rsidR="007777D7"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>énergie</w:t>
      </w:r>
      <w:r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> ;</w:t>
      </w:r>
    </w:p>
    <w:p w:rsidR="008921D5" w:rsidRPr="00DF398A" w:rsidRDefault="0060266F" w:rsidP="00E7715E">
      <w:pPr>
        <w:pStyle w:val="Paragraphedeliste"/>
        <w:numPr>
          <w:ilvl w:val="0"/>
          <w:numId w:val="2"/>
        </w:numPr>
        <w:spacing w:before="40" w:afterLines="40" w:after="96"/>
        <w:ind w:left="567" w:hanging="357"/>
        <w:contextualSpacing w:val="0"/>
        <w:jc w:val="both"/>
        <w:rPr>
          <w:color w:val="454546" w:themeColor="text2" w:themeShade="80"/>
          <w:sz w:val="20"/>
          <w:szCs w:val="20"/>
        </w:rPr>
      </w:pPr>
      <w:r w:rsidRPr="00DF398A">
        <w:rPr>
          <w:color w:val="454546" w:themeColor="text2" w:themeShade="80"/>
          <w:sz w:val="20"/>
          <w:szCs w:val="20"/>
        </w:rPr>
        <w:t xml:space="preserve">d’autoriser </w:t>
      </w:r>
      <w:r w:rsidR="001408D2" w:rsidRPr="001408D2">
        <w:rPr>
          <w:color w:val="FF0000"/>
          <w:sz w:val="20"/>
          <w:szCs w:val="20"/>
        </w:rPr>
        <w:t>[</w:t>
      </w:r>
      <w:r w:rsidR="007629A3" w:rsidRPr="001408D2">
        <w:rPr>
          <w:color w:val="FF0000"/>
          <w:sz w:val="20"/>
          <w:szCs w:val="20"/>
        </w:rPr>
        <w:t xml:space="preserve">Madame / </w:t>
      </w:r>
      <w:r w:rsidRPr="001408D2">
        <w:rPr>
          <w:color w:val="FF0000"/>
          <w:sz w:val="20"/>
          <w:szCs w:val="20"/>
        </w:rPr>
        <w:t>Monsieur le Maire</w:t>
      </w:r>
      <w:r w:rsidR="00EC6A4F">
        <w:rPr>
          <w:color w:val="FF0000"/>
          <w:sz w:val="20"/>
          <w:szCs w:val="20"/>
        </w:rPr>
        <w:t xml:space="preserve"> / le (la) président(e)</w:t>
      </w:r>
      <w:r w:rsidR="001408D2" w:rsidRPr="001408D2">
        <w:rPr>
          <w:color w:val="FF0000"/>
          <w:sz w:val="20"/>
          <w:szCs w:val="20"/>
        </w:rPr>
        <w:t xml:space="preserve">] </w:t>
      </w:r>
      <w:r w:rsidRPr="00DF398A">
        <w:rPr>
          <w:color w:val="454546" w:themeColor="text2" w:themeShade="80"/>
          <w:sz w:val="20"/>
          <w:szCs w:val="20"/>
        </w:rPr>
        <w:t>ou son représentant à signer la convention de groupement</w:t>
      </w:r>
      <w:r w:rsidR="009C33EE">
        <w:rPr>
          <w:color w:val="454546" w:themeColor="text2" w:themeShade="80"/>
          <w:sz w:val="20"/>
          <w:szCs w:val="20"/>
        </w:rPr>
        <w:t xml:space="preserve"> et tous les documents relatifs à cette affaire</w:t>
      </w:r>
      <w:r w:rsidR="00EE047E" w:rsidRPr="00DF398A">
        <w:rPr>
          <w:color w:val="454546" w:themeColor="text2" w:themeShade="80"/>
          <w:sz w:val="20"/>
          <w:szCs w:val="20"/>
        </w:rPr>
        <w:t> ;</w:t>
      </w:r>
    </w:p>
    <w:p w:rsidR="00362208" w:rsidRPr="0016008C" w:rsidRDefault="0060266F" w:rsidP="00E7715E">
      <w:pPr>
        <w:pStyle w:val="Paragraphedeliste"/>
        <w:numPr>
          <w:ilvl w:val="0"/>
          <w:numId w:val="2"/>
        </w:numPr>
        <w:spacing w:before="40" w:afterLines="40" w:after="96"/>
        <w:ind w:left="567" w:hanging="357"/>
        <w:contextualSpacing w:val="0"/>
        <w:jc w:val="both"/>
        <w:rPr>
          <w:color w:val="454546" w:themeColor="text2" w:themeShade="80"/>
          <w:sz w:val="20"/>
          <w:szCs w:val="20"/>
        </w:rPr>
      </w:pPr>
      <w:r w:rsidRPr="0016008C">
        <w:rPr>
          <w:color w:val="454546" w:themeColor="text2" w:themeShade="80"/>
          <w:sz w:val="20"/>
          <w:szCs w:val="20"/>
        </w:rPr>
        <w:t>d’autoriser le représentant du coordon</w:t>
      </w:r>
      <w:r w:rsidR="00EB0812" w:rsidRPr="0016008C">
        <w:rPr>
          <w:color w:val="454546" w:themeColor="text2" w:themeShade="80"/>
          <w:sz w:val="20"/>
          <w:szCs w:val="20"/>
        </w:rPr>
        <w:t>n</w:t>
      </w:r>
      <w:r w:rsidRPr="0016008C">
        <w:rPr>
          <w:color w:val="454546" w:themeColor="text2" w:themeShade="80"/>
          <w:sz w:val="20"/>
          <w:szCs w:val="20"/>
        </w:rPr>
        <w:t>ateur à signer les marchés</w:t>
      </w:r>
      <w:r w:rsidR="008A4C74" w:rsidRPr="0016008C">
        <w:rPr>
          <w:color w:val="454546" w:themeColor="text2" w:themeShade="80"/>
          <w:sz w:val="20"/>
          <w:szCs w:val="20"/>
        </w:rPr>
        <w:t xml:space="preserve"> et</w:t>
      </w:r>
      <w:r w:rsidRPr="0016008C">
        <w:rPr>
          <w:color w:val="454546" w:themeColor="text2" w:themeShade="80"/>
          <w:sz w:val="20"/>
          <w:szCs w:val="20"/>
        </w:rPr>
        <w:t xml:space="preserve"> accords-cadres issus du groupement de commandes pour le compt</w:t>
      </w:r>
      <w:r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 xml:space="preserve">e </w:t>
      </w:r>
      <w:r w:rsidR="00EC6A4F" w:rsidRPr="005B589B">
        <w:rPr>
          <w:rFonts w:asciiTheme="minorHAnsi" w:eastAsiaTheme="minorEastAsia" w:hAnsiTheme="minorHAnsi" w:cstheme="minorBidi"/>
          <w:color w:val="454546" w:themeColor="text2" w:themeShade="80"/>
          <w:sz w:val="20"/>
          <w:szCs w:val="20"/>
        </w:rPr>
        <w:t xml:space="preserve">de </w:t>
      </w:r>
      <w:r w:rsidR="001408D2" w:rsidRPr="001408D2">
        <w:rPr>
          <w:color w:val="FF0000"/>
          <w:sz w:val="20"/>
          <w:szCs w:val="20"/>
        </w:rPr>
        <w:t>[la commune</w:t>
      </w:r>
      <w:r w:rsidR="001408D2">
        <w:rPr>
          <w:color w:val="FF0000"/>
          <w:sz w:val="20"/>
          <w:szCs w:val="20"/>
        </w:rPr>
        <w:t xml:space="preserve"> </w:t>
      </w:r>
      <w:r w:rsidR="00233300">
        <w:rPr>
          <w:color w:val="FF0000"/>
          <w:sz w:val="20"/>
          <w:szCs w:val="20"/>
        </w:rPr>
        <w:t xml:space="preserve">de </w:t>
      </w:r>
      <w:r w:rsidR="00EC6A4F">
        <w:rPr>
          <w:color w:val="FF0000"/>
          <w:sz w:val="20"/>
          <w:szCs w:val="20"/>
        </w:rPr>
        <w:t>/ le CCAS de / la communauté de commune de…</w:t>
      </w:r>
      <w:r w:rsidR="001408D2">
        <w:rPr>
          <w:color w:val="FF0000"/>
          <w:sz w:val="20"/>
          <w:szCs w:val="20"/>
        </w:rPr>
        <w:t>]</w:t>
      </w:r>
      <w:r w:rsidR="001408D2" w:rsidRPr="001408D2">
        <w:rPr>
          <w:sz w:val="20"/>
          <w:szCs w:val="20"/>
        </w:rPr>
        <w:t>.</w:t>
      </w:r>
    </w:p>
    <w:sectPr w:rsidR="00362208" w:rsidRPr="0016008C" w:rsidSect="001600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A3" w:rsidRDefault="00BA36A3" w:rsidP="00BA36A3">
      <w:pPr>
        <w:spacing w:after="0" w:line="240" w:lineRule="auto"/>
      </w:pPr>
      <w:r>
        <w:separator/>
      </w:r>
    </w:p>
  </w:endnote>
  <w:endnote w:type="continuationSeparator" w:id="0">
    <w:p w:rsidR="00BA36A3" w:rsidRDefault="00BA36A3" w:rsidP="00BA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nacti Sb">
    <w:altName w:val="Arial"/>
    <w:panose1 w:val="020B0706020000080004"/>
    <w:charset w:val="00"/>
    <w:family w:val="swiss"/>
    <w:notTrueType/>
    <w:pitch w:val="variable"/>
    <w:sig w:usb0="A00000EF" w:usb1="5000004B" w:usb2="00000000" w:usb3="00000000" w:csb0="0000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A3" w:rsidRDefault="00BA36A3" w:rsidP="00BA36A3">
      <w:pPr>
        <w:spacing w:after="0" w:line="240" w:lineRule="auto"/>
      </w:pPr>
      <w:r>
        <w:separator/>
      </w:r>
    </w:p>
  </w:footnote>
  <w:footnote w:type="continuationSeparator" w:id="0">
    <w:p w:rsidR="00BA36A3" w:rsidRDefault="00BA36A3" w:rsidP="00BA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979"/>
    <w:multiLevelType w:val="hybridMultilevel"/>
    <w:tmpl w:val="E696B8B0"/>
    <w:lvl w:ilvl="0" w:tplc="94866478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D85CDD"/>
    <w:multiLevelType w:val="hybridMultilevel"/>
    <w:tmpl w:val="8752F770"/>
    <w:lvl w:ilvl="0" w:tplc="6D98F4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8A8B8D" w:themeColor="text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49B2E77"/>
    <w:multiLevelType w:val="hybridMultilevel"/>
    <w:tmpl w:val="6AACAB26"/>
    <w:lvl w:ilvl="0" w:tplc="6D98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8B8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5"/>
    <w:rsid w:val="000303F7"/>
    <w:rsid w:val="000310F3"/>
    <w:rsid w:val="00096C49"/>
    <w:rsid w:val="001408D2"/>
    <w:rsid w:val="00143C03"/>
    <w:rsid w:val="0016008C"/>
    <w:rsid w:val="00233300"/>
    <w:rsid w:val="00285357"/>
    <w:rsid w:val="00294454"/>
    <w:rsid w:val="002F4A64"/>
    <w:rsid w:val="003041F6"/>
    <w:rsid w:val="00362208"/>
    <w:rsid w:val="003F742F"/>
    <w:rsid w:val="0045313C"/>
    <w:rsid w:val="0045702B"/>
    <w:rsid w:val="004D0CB9"/>
    <w:rsid w:val="004F2890"/>
    <w:rsid w:val="005221C9"/>
    <w:rsid w:val="005B589B"/>
    <w:rsid w:val="005F27A8"/>
    <w:rsid w:val="0060266F"/>
    <w:rsid w:val="00625E2D"/>
    <w:rsid w:val="0067572A"/>
    <w:rsid w:val="006E577D"/>
    <w:rsid w:val="006E6063"/>
    <w:rsid w:val="00700831"/>
    <w:rsid w:val="00710748"/>
    <w:rsid w:val="00751E3E"/>
    <w:rsid w:val="007629A3"/>
    <w:rsid w:val="007777D7"/>
    <w:rsid w:val="007A388B"/>
    <w:rsid w:val="00812A53"/>
    <w:rsid w:val="008921D5"/>
    <w:rsid w:val="008A1FC0"/>
    <w:rsid w:val="008A4C74"/>
    <w:rsid w:val="008D16A5"/>
    <w:rsid w:val="00936F18"/>
    <w:rsid w:val="009B3B9F"/>
    <w:rsid w:val="009C33EE"/>
    <w:rsid w:val="00A04307"/>
    <w:rsid w:val="00A43218"/>
    <w:rsid w:val="00AD14EB"/>
    <w:rsid w:val="00BA36A3"/>
    <w:rsid w:val="00C064BC"/>
    <w:rsid w:val="00C8125D"/>
    <w:rsid w:val="00CA1D58"/>
    <w:rsid w:val="00DF398A"/>
    <w:rsid w:val="00E71498"/>
    <w:rsid w:val="00E7715E"/>
    <w:rsid w:val="00EA1184"/>
    <w:rsid w:val="00EA569B"/>
    <w:rsid w:val="00EB0812"/>
    <w:rsid w:val="00EC6A4F"/>
    <w:rsid w:val="00EE047E"/>
    <w:rsid w:val="00EE20E4"/>
    <w:rsid w:val="00F56D9D"/>
    <w:rsid w:val="00F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36A3"/>
  </w:style>
  <w:style w:type="paragraph" w:styleId="Pieddepage">
    <w:name w:val="footer"/>
    <w:basedOn w:val="Normal"/>
    <w:link w:val="PieddepageCar"/>
    <w:uiPriority w:val="99"/>
    <w:semiHidden/>
    <w:unhideWhenUsed/>
    <w:rsid w:val="00B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36A3"/>
  </w:style>
  <w:style w:type="paragraph" w:styleId="Paragraphedeliste">
    <w:name w:val="List Paragraph"/>
    <w:basedOn w:val="Normal"/>
    <w:uiPriority w:val="34"/>
    <w:qFormat/>
    <w:rsid w:val="006E606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center"/>
      <w:textAlignment w:val="baseline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0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36A3"/>
  </w:style>
  <w:style w:type="paragraph" w:styleId="Pieddepage">
    <w:name w:val="footer"/>
    <w:basedOn w:val="Normal"/>
    <w:link w:val="PieddepageCar"/>
    <w:uiPriority w:val="99"/>
    <w:semiHidden/>
    <w:unhideWhenUsed/>
    <w:rsid w:val="00BA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36A3"/>
  </w:style>
  <w:style w:type="paragraph" w:styleId="Paragraphedeliste">
    <w:name w:val="List Paragraph"/>
    <w:basedOn w:val="Normal"/>
    <w:uiPriority w:val="34"/>
    <w:qFormat/>
    <w:rsid w:val="006E606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center"/>
      <w:textAlignment w:val="baseline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0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DE35">
      <a:dk1>
        <a:sysClr val="windowText" lastClr="000000"/>
      </a:dk1>
      <a:lt1>
        <a:sysClr val="window" lastClr="FFFFFF"/>
      </a:lt1>
      <a:dk2>
        <a:srgbClr val="8A8B8D"/>
      </a:dk2>
      <a:lt2>
        <a:srgbClr val="EEECE1"/>
      </a:lt2>
      <a:accent1>
        <a:srgbClr val="DF551A"/>
      </a:accent1>
      <a:accent2>
        <a:srgbClr val="70C3C6"/>
      </a:accent2>
      <a:accent3>
        <a:srgbClr val="C2D026"/>
      </a:accent3>
      <a:accent4>
        <a:srgbClr val="8064A2"/>
      </a:accent4>
      <a:accent5>
        <a:srgbClr val="F79646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E11F-7A1A-4734-91C3-74EFC42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Guenola MOISAN</cp:lastModifiedBy>
  <cp:revision>6</cp:revision>
  <cp:lastPrinted>2014-12-11T10:08:00Z</cp:lastPrinted>
  <dcterms:created xsi:type="dcterms:W3CDTF">2018-10-18T09:55:00Z</dcterms:created>
  <dcterms:modified xsi:type="dcterms:W3CDTF">2019-05-23T10:13:00Z</dcterms:modified>
</cp:coreProperties>
</file>