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2999" w:rsidRDefault="00625E28" w:rsidP="00D303F0">
      <w:pPr>
        <w:ind w:left="1985"/>
        <w:rPr>
          <w:rFonts w:ascii="Calibri" w:hAnsi="Calibri"/>
          <w:szCs w:val="22"/>
        </w:rPr>
      </w:pPr>
      <w:r w:rsidRPr="00D303F0">
        <w:rPr>
          <w:rFonts w:ascii="Comic Sans MS" w:eastAsia="Times New Roman" w:hAnsi="Comic Sans MS"/>
          <w:b/>
          <w:noProof/>
          <w:sz w:val="16"/>
          <w:szCs w:val="20"/>
        </w:rPr>
        <w:drawing>
          <wp:anchor distT="0" distB="0" distL="114300" distR="114300" simplePos="0" relativeHeight="251659264" behindDoc="0" locked="0" layoutInCell="1" allowOverlap="1" wp14:anchorId="666E71AE" wp14:editId="360C16C0">
            <wp:simplePos x="0" y="0"/>
            <wp:positionH relativeFrom="column">
              <wp:posOffset>2439670</wp:posOffset>
            </wp:positionH>
            <wp:positionV relativeFrom="paragraph">
              <wp:posOffset>-452120</wp:posOffset>
            </wp:positionV>
            <wp:extent cx="1382395" cy="584835"/>
            <wp:effectExtent l="0" t="0" r="8255" b="5715"/>
            <wp:wrapNone/>
            <wp:docPr id="1" name="Image 1" descr="Description : LOGO 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LOGO 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2395" cy="584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3F0" w:rsidRPr="00125E44" w:rsidRDefault="00D303F0" w:rsidP="00D303F0">
      <w:pPr>
        <w:tabs>
          <w:tab w:val="left" w:pos="8647"/>
        </w:tabs>
        <w:ind w:left="-851" w:right="849"/>
        <w:jc w:val="left"/>
        <w:rPr>
          <w:rFonts w:ascii="Venacti Sb" w:eastAsia="Times New Roman" w:hAnsi="Venacti Sb"/>
          <w:color w:val="E36C0A"/>
          <w:sz w:val="16"/>
          <w:szCs w:val="16"/>
          <w:lang w:eastAsia="x-none"/>
        </w:rPr>
      </w:pPr>
    </w:p>
    <w:p w:rsidR="00200868" w:rsidRDefault="00D303F0" w:rsidP="00200868">
      <w:pPr>
        <w:tabs>
          <w:tab w:val="left" w:pos="9781"/>
        </w:tabs>
        <w:ind w:right="-1"/>
        <w:jc w:val="center"/>
        <w:rPr>
          <w:rFonts w:ascii="Venacti Sb" w:eastAsia="Times New Roman" w:hAnsi="Venacti Sb"/>
          <w:color w:val="E36C0A"/>
          <w:sz w:val="26"/>
          <w:szCs w:val="26"/>
          <w:lang w:eastAsia="x-none"/>
        </w:rPr>
      </w:pPr>
      <w:r w:rsidRPr="00D303F0">
        <w:rPr>
          <w:rFonts w:ascii="Venacti Sb" w:eastAsia="Times New Roman" w:hAnsi="Venacti Sb"/>
          <w:color w:val="E36C0A"/>
          <w:sz w:val="26"/>
          <w:szCs w:val="26"/>
          <w:lang w:eastAsia="x-none"/>
        </w:rPr>
        <w:t>Compte-rendu de la réunion du comité syndical</w:t>
      </w:r>
    </w:p>
    <w:p w:rsidR="00D303F0" w:rsidRPr="00D303F0" w:rsidRDefault="00D303F0" w:rsidP="00200868">
      <w:pPr>
        <w:tabs>
          <w:tab w:val="left" w:pos="9781"/>
        </w:tabs>
        <w:ind w:right="-1"/>
        <w:jc w:val="center"/>
        <w:rPr>
          <w:rFonts w:ascii="Venacti Sb" w:eastAsia="Times New Roman" w:hAnsi="Venacti Sb"/>
          <w:color w:val="E36C0A"/>
          <w:sz w:val="26"/>
          <w:szCs w:val="26"/>
          <w:lang w:eastAsia="x-none"/>
        </w:rPr>
      </w:pPr>
      <w:r>
        <w:rPr>
          <w:rFonts w:ascii="Venacti Sb" w:eastAsia="Times New Roman" w:hAnsi="Venacti Sb"/>
          <w:color w:val="E36C0A"/>
          <w:sz w:val="26"/>
          <w:szCs w:val="26"/>
          <w:lang w:eastAsia="x-none"/>
        </w:rPr>
        <w:t>Séance du</w:t>
      </w:r>
      <w:r w:rsidR="0090603E">
        <w:rPr>
          <w:rFonts w:ascii="Venacti Sb" w:eastAsia="Times New Roman" w:hAnsi="Venacti Sb"/>
          <w:color w:val="E36C0A"/>
          <w:sz w:val="26"/>
          <w:szCs w:val="26"/>
          <w:lang w:eastAsia="x-none"/>
        </w:rPr>
        <w:t xml:space="preserve"> </w:t>
      </w:r>
      <w:r w:rsidR="00DC3282">
        <w:rPr>
          <w:rFonts w:ascii="Venacti Sb" w:eastAsia="Times New Roman" w:hAnsi="Venacti Sb"/>
          <w:color w:val="E36C0A"/>
          <w:sz w:val="26"/>
          <w:szCs w:val="26"/>
          <w:lang w:eastAsia="x-none"/>
        </w:rPr>
        <w:t>17 septembre</w:t>
      </w:r>
      <w:r w:rsidR="005B737B">
        <w:rPr>
          <w:rFonts w:ascii="Venacti Sb" w:eastAsia="Times New Roman" w:hAnsi="Venacti Sb"/>
          <w:color w:val="E36C0A"/>
          <w:sz w:val="26"/>
          <w:szCs w:val="26"/>
          <w:lang w:eastAsia="x-none"/>
        </w:rPr>
        <w:t xml:space="preserve"> 201</w:t>
      </w:r>
      <w:r w:rsidR="00BA7DE0">
        <w:rPr>
          <w:rFonts w:ascii="Venacti Sb" w:eastAsia="Times New Roman" w:hAnsi="Venacti Sb"/>
          <w:color w:val="E36C0A"/>
          <w:sz w:val="26"/>
          <w:szCs w:val="26"/>
          <w:lang w:eastAsia="x-none"/>
        </w:rPr>
        <w:t>9</w:t>
      </w:r>
    </w:p>
    <w:p w:rsidR="00D305B8" w:rsidRDefault="00D305B8" w:rsidP="00D305B8">
      <w:pPr>
        <w:pStyle w:val="Corpsdetexte"/>
        <w:tabs>
          <w:tab w:val="left" w:pos="8647"/>
        </w:tabs>
        <w:ind w:left="2126" w:hanging="141"/>
        <w:rPr>
          <w:rFonts w:ascii="Calibri" w:hAnsi="Calibri"/>
          <w:sz w:val="20"/>
          <w:szCs w:val="20"/>
        </w:rPr>
      </w:pPr>
    </w:p>
    <w:p w:rsidR="005C3D66" w:rsidRPr="001F3B99" w:rsidRDefault="005C3D66" w:rsidP="005C3D66">
      <w:pPr>
        <w:pStyle w:val="Corpsdetexte"/>
        <w:tabs>
          <w:tab w:val="left" w:pos="8647"/>
        </w:tabs>
        <w:ind w:left="1418" w:right="-2" w:firstLine="1"/>
        <w:rPr>
          <w:rFonts w:asciiTheme="minorHAnsi" w:hAnsiTheme="minorHAnsi"/>
          <w:b/>
          <w:sz w:val="20"/>
          <w:szCs w:val="20"/>
        </w:rPr>
      </w:pPr>
      <w:r w:rsidRPr="001F3B99">
        <w:rPr>
          <w:noProof/>
          <w:sz w:val="20"/>
          <w:szCs w:val="20"/>
        </w:rPr>
        <mc:AlternateContent>
          <mc:Choice Requires="wps">
            <w:drawing>
              <wp:anchor distT="0" distB="0" distL="114300" distR="114300" simplePos="0" relativeHeight="251661312" behindDoc="0" locked="0" layoutInCell="1" allowOverlap="1" wp14:anchorId="31A515EE" wp14:editId="254717E4">
                <wp:simplePos x="0" y="0"/>
                <wp:positionH relativeFrom="margin">
                  <wp:posOffset>13335</wp:posOffset>
                </wp:positionH>
                <wp:positionV relativeFrom="margin">
                  <wp:posOffset>901700</wp:posOffset>
                </wp:positionV>
                <wp:extent cx="1303020" cy="2258060"/>
                <wp:effectExtent l="0" t="0" r="0" b="889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2258060"/>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6658" w:rsidRDefault="00DB6658" w:rsidP="00A54DAB">
                            <w:pPr>
                              <w:pStyle w:val="Sansinterligne"/>
                              <w:jc w:val="center"/>
                              <w:rPr>
                                <w:b/>
                                <w:color w:val="FFFFFF"/>
                                <w:sz w:val="16"/>
                                <w:szCs w:val="16"/>
                              </w:rPr>
                            </w:pPr>
                            <w:r>
                              <w:rPr>
                                <w:b/>
                                <w:color w:val="FFFFFF"/>
                                <w:sz w:val="16"/>
                                <w:szCs w:val="16"/>
                              </w:rPr>
                              <w:t>SDE35</w:t>
                            </w:r>
                          </w:p>
                          <w:p w:rsidR="00DB6658" w:rsidRDefault="00DB6658" w:rsidP="00A54DAB">
                            <w:pPr>
                              <w:pStyle w:val="Sansinterligne"/>
                              <w:jc w:val="center"/>
                              <w:rPr>
                                <w:b/>
                                <w:color w:val="FFFFFF"/>
                                <w:sz w:val="16"/>
                                <w:szCs w:val="16"/>
                              </w:rPr>
                            </w:pPr>
                            <w:r>
                              <w:rPr>
                                <w:b/>
                                <w:color w:val="FFFFFF"/>
                                <w:sz w:val="16"/>
                                <w:szCs w:val="16"/>
                              </w:rPr>
                              <w:t>Village des collectivités</w:t>
                            </w:r>
                          </w:p>
                          <w:p w:rsidR="00DB6658" w:rsidRDefault="00DB6658" w:rsidP="00A54DAB">
                            <w:pPr>
                              <w:pStyle w:val="Sansinterligne"/>
                              <w:jc w:val="center"/>
                              <w:rPr>
                                <w:b/>
                                <w:color w:val="FFFFFF"/>
                                <w:sz w:val="16"/>
                                <w:szCs w:val="16"/>
                              </w:rPr>
                            </w:pPr>
                            <w:r>
                              <w:rPr>
                                <w:b/>
                                <w:color w:val="FFFFFF"/>
                                <w:sz w:val="16"/>
                                <w:szCs w:val="16"/>
                              </w:rPr>
                              <w:t>1 avenue de Tizé CS 43603</w:t>
                            </w:r>
                          </w:p>
                          <w:p w:rsidR="00DB6658" w:rsidRDefault="00DB6658" w:rsidP="00A54DAB">
                            <w:pPr>
                              <w:pStyle w:val="Sansinterligne"/>
                              <w:jc w:val="center"/>
                              <w:rPr>
                                <w:b/>
                                <w:color w:val="FFFFFF"/>
                                <w:sz w:val="16"/>
                                <w:szCs w:val="16"/>
                              </w:rPr>
                            </w:pPr>
                            <w:r>
                              <w:rPr>
                                <w:b/>
                                <w:color w:val="FFFFFF"/>
                                <w:sz w:val="16"/>
                                <w:szCs w:val="16"/>
                              </w:rPr>
                              <w:t>352036 Thorigné-Fouillard</w:t>
                            </w:r>
                          </w:p>
                          <w:p w:rsidR="00DB6658" w:rsidRDefault="00DB6658" w:rsidP="00A54DAB">
                            <w:pPr>
                              <w:pStyle w:val="Sansinterligne"/>
                              <w:jc w:val="center"/>
                              <w:rPr>
                                <w:b/>
                                <w:color w:val="FFFFFF"/>
                                <w:sz w:val="16"/>
                                <w:szCs w:val="16"/>
                              </w:rPr>
                            </w:pPr>
                            <w:r>
                              <w:rPr>
                                <w:b/>
                                <w:color w:val="FFFFFF"/>
                                <w:sz w:val="16"/>
                                <w:szCs w:val="16"/>
                              </w:rPr>
                              <w:t>-</w:t>
                            </w:r>
                          </w:p>
                          <w:p w:rsidR="00DB6658" w:rsidRDefault="00DB6658" w:rsidP="005C3D66">
                            <w:pPr>
                              <w:pStyle w:val="Sansinterligne"/>
                              <w:rPr>
                                <w:b/>
                                <w:color w:val="FFFFFF"/>
                                <w:sz w:val="16"/>
                                <w:szCs w:val="16"/>
                              </w:rPr>
                            </w:pPr>
                            <w:r>
                              <w:rPr>
                                <w:b/>
                                <w:color w:val="FFFFFF"/>
                                <w:sz w:val="16"/>
                                <w:szCs w:val="16"/>
                              </w:rPr>
                              <w:t>Nombre de délégués</w:t>
                            </w:r>
                          </w:p>
                          <w:p w:rsidR="00DB6658" w:rsidRDefault="00DB6658"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DB6658" w:rsidRPr="00387A0E" w:rsidRDefault="006D01FF"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r>
                            <w:r w:rsidRPr="00CB4D15">
                              <w:rPr>
                                <w:b/>
                                <w:color w:val="FFFFFF"/>
                                <w:sz w:val="16"/>
                                <w:szCs w:val="16"/>
                              </w:rPr>
                              <w:t>20</w:t>
                            </w:r>
                          </w:p>
                          <w:p w:rsidR="00DB6658" w:rsidRPr="00387A11" w:rsidRDefault="006D01FF"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r>
                            <w:r w:rsidR="00CB4D15">
                              <w:rPr>
                                <w:b/>
                                <w:color w:val="FFFFFF"/>
                                <w:sz w:val="16"/>
                                <w:szCs w:val="16"/>
                              </w:rPr>
                              <w:t>16</w:t>
                            </w:r>
                          </w:p>
                          <w:p w:rsidR="00DB6658" w:rsidRDefault="00DB6658" w:rsidP="005C3D66">
                            <w:pPr>
                              <w:pStyle w:val="Sansinterligne"/>
                              <w:rPr>
                                <w:b/>
                                <w:color w:val="FFFFFF"/>
                                <w:sz w:val="16"/>
                                <w:szCs w:val="16"/>
                              </w:rPr>
                            </w:pPr>
                          </w:p>
                          <w:p w:rsidR="00DB6658" w:rsidRDefault="006D01FF"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00DC3282">
                              <w:rPr>
                                <w:b/>
                                <w:color w:val="FFFFFF"/>
                                <w:sz w:val="16"/>
                                <w:szCs w:val="16"/>
                              </w:rPr>
                              <w:t>19</w:t>
                            </w:r>
                          </w:p>
                          <w:p w:rsidR="00DB6658" w:rsidRDefault="00CB4D15" w:rsidP="005C3D66">
                            <w:pPr>
                              <w:pStyle w:val="Sansinterligne"/>
                              <w:rPr>
                                <w:b/>
                                <w:color w:val="FFFFFF"/>
                                <w:sz w:val="16"/>
                                <w:szCs w:val="16"/>
                              </w:rPr>
                            </w:pPr>
                            <w:r>
                              <w:rPr>
                                <w:b/>
                                <w:color w:val="FFFFFF"/>
                                <w:sz w:val="16"/>
                                <w:szCs w:val="16"/>
                              </w:rPr>
                              <w:t>Votants :</w:t>
                            </w:r>
                            <w:r>
                              <w:rPr>
                                <w:b/>
                                <w:color w:val="FFFFFF"/>
                                <w:sz w:val="16"/>
                                <w:szCs w:val="16"/>
                              </w:rPr>
                              <w:tab/>
                            </w:r>
                            <w:r>
                              <w:rPr>
                                <w:b/>
                                <w:color w:val="FFFFFF"/>
                                <w:sz w:val="16"/>
                                <w:szCs w:val="16"/>
                              </w:rPr>
                              <w:tab/>
                              <w:t>20</w:t>
                            </w:r>
                          </w:p>
                          <w:p w:rsidR="00DB6658" w:rsidRDefault="00DB6658" w:rsidP="005C3D66">
                            <w:pPr>
                              <w:shd w:val="clear" w:color="auto" w:fill="595959"/>
                              <w:tabs>
                                <w:tab w:val="left" w:pos="1276"/>
                              </w:tabs>
                              <w:rPr>
                                <w:b/>
                                <w:color w:val="FFFFFF"/>
                                <w:sz w:val="16"/>
                                <w:szCs w:val="16"/>
                              </w:rPr>
                            </w:pPr>
                          </w:p>
                          <w:p w:rsidR="00DB6658" w:rsidRDefault="00DB6658" w:rsidP="005C3D66">
                            <w:pPr>
                              <w:shd w:val="clear" w:color="auto" w:fill="595959"/>
                              <w:tabs>
                                <w:tab w:val="left" w:pos="1276"/>
                              </w:tabs>
                              <w:rPr>
                                <w:b/>
                                <w:color w:val="FFFFFF"/>
                                <w:sz w:val="16"/>
                                <w:szCs w:val="16"/>
                              </w:rPr>
                            </w:pPr>
                            <w:r>
                              <w:rPr>
                                <w:b/>
                                <w:color w:val="FFFFFF"/>
                                <w:sz w:val="16"/>
                                <w:szCs w:val="16"/>
                              </w:rPr>
                              <w:t>Réception par le Préfet </w:t>
                            </w:r>
                          </w:p>
                          <w:p w:rsidR="00DB6658" w:rsidRDefault="00652E80" w:rsidP="005C3D66">
                            <w:pPr>
                              <w:shd w:val="clear" w:color="auto" w:fill="595959"/>
                              <w:tabs>
                                <w:tab w:val="left" w:pos="1276"/>
                              </w:tabs>
                              <w:rPr>
                                <w:b/>
                                <w:color w:val="FFFFFF"/>
                                <w:sz w:val="16"/>
                                <w:szCs w:val="16"/>
                              </w:rPr>
                            </w:pPr>
                            <w:r>
                              <w:rPr>
                                <w:b/>
                                <w:color w:val="FFFFFF"/>
                                <w:sz w:val="16"/>
                                <w:szCs w:val="16"/>
                              </w:rPr>
                              <w:t>01/10/2019</w:t>
                            </w:r>
                          </w:p>
                          <w:p w:rsidR="00DB6658" w:rsidRDefault="00DB6658" w:rsidP="005C3D66">
                            <w:pPr>
                              <w:shd w:val="clear" w:color="auto" w:fill="595959"/>
                              <w:tabs>
                                <w:tab w:val="left" w:pos="1276"/>
                              </w:tabs>
                              <w:rPr>
                                <w:b/>
                                <w:color w:val="FFFFFF"/>
                                <w:sz w:val="16"/>
                                <w:szCs w:val="16"/>
                              </w:rPr>
                            </w:pPr>
                            <w:r>
                              <w:rPr>
                                <w:b/>
                                <w:color w:val="FFFFFF"/>
                                <w:sz w:val="16"/>
                                <w:szCs w:val="16"/>
                              </w:rPr>
                              <w:t>Publication</w:t>
                            </w:r>
                          </w:p>
                          <w:p w:rsidR="00985188" w:rsidRDefault="00652E80" w:rsidP="005C3D66">
                            <w:pPr>
                              <w:shd w:val="clear" w:color="auto" w:fill="595959"/>
                              <w:tabs>
                                <w:tab w:val="left" w:pos="1276"/>
                              </w:tabs>
                              <w:rPr>
                                <w:b/>
                                <w:color w:val="FFFFFF"/>
                                <w:sz w:val="16"/>
                                <w:szCs w:val="16"/>
                              </w:rPr>
                            </w:pPr>
                            <w:r>
                              <w:rPr>
                                <w:b/>
                                <w:color w:val="FFFFFF"/>
                                <w:sz w:val="16"/>
                                <w:szCs w:val="16"/>
                              </w:rPr>
                              <w:t>02/10/2019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left:0;text-align:left;margin-left:1.05pt;margin-top:71pt;width:102.6pt;height:177.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" fillcolor="#5a5a5a" stroked="f">
                <v:textbox>
                  <w:txbxContent>
                    <w:p w:rsidR="00DB6658" w:rsidRDefault="00DB6658" w:rsidP="00A54DAB">
                      <w:pPr>
                        <w:pStyle w:val="Sansinterligne"/>
                        <w:jc w:val="center"/>
                        <w:rPr>
                          <w:b/>
                          <w:color w:val="FFFFFF"/>
                          <w:sz w:val="16"/>
                          <w:szCs w:val="16"/>
                        </w:rPr>
                      </w:pPr>
                      <w:r>
                        <w:rPr>
                          <w:b/>
                          <w:color w:val="FFFFFF"/>
                          <w:sz w:val="16"/>
                          <w:szCs w:val="16"/>
                        </w:rPr>
                        <w:t>SDE35</w:t>
                      </w:r>
                    </w:p>
                    <w:p w:rsidR="00DB6658" w:rsidRDefault="00DB6658" w:rsidP="00A54DAB">
                      <w:pPr>
                        <w:pStyle w:val="Sansinterligne"/>
                        <w:jc w:val="center"/>
                        <w:rPr>
                          <w:b/>
                          <w:color w:val="FFFFFF"/>
                          <w:sz w:val="16"/>
                          <w:szCs w:val="16"/>
                        </w:rPr>
                      </w:pPr>
                      <w:r>
                        <w:rPr>
                          <w:b/>
                          <w:color w:val="FFFFFF"/>
                          <w:sz w:val="16"/>
                          <w:szCs w:val="16"/>
                        </w:rPr>
                        <w:t>Village des collectivités</w:t>
                      </w:r>
                    </w:p>
                    <w:p w:rsidR="00DB6658" w:rsidRDefault="00DB6658" w:rsidP="00A54DAB">
                      <w:pPr>
                        <w:pStyle w:val="Sansinterligne"/>
                        <w:jc w:val="center"/>
                        <w:rPr>
                          <w:b/>
                          <w:color w:val="FFFFFF"/>
                          <w:sz w:val="16"/>
                          <w:szCs w:val="16"/>
                        </w:rPr>
                      </w:pPr>
                      <w:r>
                        <w:rPr>
                          <w:b/>
                          <w:color w:val="FFFFFF"/>
                          <w:sz w:val="16"/>
                          <w:szCs w:val="16"/>
                        </w:rPr>
                        <w:t>1 avenue de Tizé CS 43603</w:t>
                      </w:r>
                    </w:p>
                    <w:p w:rsidR="00DB6658" w:rsidRDefault="00DB6658" w:rsidP="00A54DAB">
                      <w:pPr>
                        <w:pStyle w:val="Sansinterligne"/>
                        <w:jc w:val="center"/>
                        <w:rPr>
                          <w:b/>
                          <w:color w:val="FFFFFF"/>
                          <w:sz w:val="16"/>
                          <w:szCs w:val="16"/>
                        </w:rPr>
                      </w:pPr>
                      <w:r>
                        <w:rPr>
                          <w:b/>
                          <w:color w:val="FFFFFF"/>
                          <w:sz w:val="16"/>
                          <w:szCs w:val="16"/>
                        </w:rPr>
                        <w:t>352036 Thorigné-Fouillard</w:t>
                      </w:r>
                    </w:p>
                    <w:p w:rsidR="00DB6658" w:rsidRDefault="00DB6658" w:rsidP="00A54DAB">
                      <w:pPr>
                        <w:pStyle w:val="Sansinterligne"/>
                        <w:jc w:val="center"/>
                        <w:rPr>
                          <w:b/>
                          <w:color w:val="FFFFFF"/>
                          <w:sz w:val="16"/>
                          <w:szCs w:val="16"/>
                        </w:rPr>
                      </w:pPr>
                      <w:r>
                        <w:rPr>
                          <w:b/>
                          <w:color w:val="FFFFFF"/>
                          <w:sz w:val="16"/>
                          <w:szCs w:val="16"/>
                        </w:rPr>
                        <w:t>-</w:t>
                      </w:r>
                    </w:p>
                    <w:p w:rsidR="00DB6658" w:rsidRDefault="00DB6658" w:rsidP="005C3D66">
                      <w:pPr>
                        <w:pStyle w:val="Sansinterligne"/>
                        <w:rPr>
                          <w:b/>
                          <w:color w:val="FFFFFF"/>
                          <w:sz w:val="16"/>
                          <w:szCs w:val="16"/>
                        </w:rPr>
                      </w:pPr>
                      <w:r>
                        <w:rPr>
                          <w:b/>
                          <w:color w:val="FFFFFF"/>
                          <w:sz w:val="16"/>
                          <w:szCs w:val="16"/>
                        </w:rPr>
                        <w:t>Nombre de délégués</w:t>
                      </w:r>
                    </w:p>
                    <w:p w:rsidR="00DB6658" w:rsidRDefault="00DB6658" w:rsidP="005C3D66">
                      <w:pPr>
                        <w:pStyle w:val="Sansinterligne"/>
                        <w:rPr>
                          <w:b/>
                          <w:color w:val="FFFFFF"/>
                          <w:sz w:val="16"/>
                          <w:szCs w:val="16"/>
                        </w:rPr>
                      </w:pPr>
                      <w:r>
                        <w:rPr>
                          <w:b/>
                          <w:color w:val="FFFFFF"/>
                          <w:sz w:val="16"/>
                          <w:szCs w:val="16"/>
                        </w:rPr>
                        <w:t xml:space="preserve">En exercice : </w:t>
                      </w:r>
                      <w:r>
                        <w:rPr>
                          <w:b/>
                          <w:color w:val="FFFFFF"/>
                          <w:sz w:val="16"/>
                          <w:szCs w:val="16"/>
                        </w:rPr>
                        <w:tab/>
                        <w:t>36</w:t>
                      </w:r>
                    </w:p>
                    <w:p w:rsidR="00DB6658" w:rsidRPr="00387A0E" w:rsidRDefault="006D01FF" w:rsidP="005C3D66">
                      <w:pPr>
                        <w:pStyle w:val="Sansinterligne"/>
                        <w:rPr>
                          <w:b/>
                          <w:color w:val="FFFFFF"/>
                          <w:sz w:val="16"/>
                          <w:szCs w:val="16"/>
                        </w:rPr>
                      </w:pPr>
                      <w:r>
                        <w:rPr>
                          <w:b/>
                          <w:color w:val="FFFFFF"/>
                          <w:sz w:val="16"/>
                          <w:szCs w:val="16"/>
                        </w:rPr>
                        <w:t>Présents :</w:t>
                      </w:r>
                      <w:r>
                        <w:rPr>
                          <w:b/>
                          <w:color w:val="FFFFFF"/>
                          <w:sz w:val="16"/>
                          <w:szCs w:val="16"/>
                        </w:rPr>
                        <w:tab/>
                      </w:r>
                      <w:r>
                        <w:rPr>
                          <w:b/>
                          <w:color w:val="FFFFFF"/>
                          <w:sz w:val="16"/>
                          <w:szCs w:val="16"/>
                        </w:rPr>
                        <w:tab/>
                      </w:r>
                      <w:r w:rsidRPr="00CB4D15">
                        <w:rPr>
                          <w:b/>
                          <w:color w:val="FFFFFF"/>
                          <w:sz w:val="16"/>
                          <w:szCs w:val="16"/>
                        </w:rPr>
                        <w:t>20</w:t>
                      </w:r>
                    </w:p>
                    <w:p w:rsidR="00DB6658" w:rsidRPr="00387A11" w:rsidRDefault="006D01FF" w:rsidP="005C3D66">
                      <w:pPr>
                        <w:pStyle w:val="Sansinterligne"/>
                        <w:rPr>
                          <w:b/>
                          <w:color w:val="FFFFFF"/>
                          <w:sz w:val="16"/>
                          <w:szCs w:val="16"/>
                        </w:rPr>
                      </w:pPr>
                      <w:r>
                        <w:rPr>
                          <w:b/>
                          <w:color w:val="FFFFFF"/>
                          <w:sz w:val="16"/>
                          <w:szCs w:val="16"/>
                        </w:rPr>
                        <w:t>Absents :</w:t>
                      </w:r>
                      <w:r>
                        <w:rPr>
                          <w:b/>
                          <w:color w:val="FFFFFF"/>
                          <w:sz w:val="16"/>
                          <w:szCs w:val="16"/>
                        </w:rPr>
                        <w:tab/>
                      </w:r>
                      <w:r>
                        <w:rPr>
                          <w:b/>
                          <w:color w:val="FFFFFF"/>
                          <w:sz w:val="16"/>
                          <w:szCs w:val="16"/>
                        </w:rPr>
                        <w:tab/>
                      </w:r>
                      <w:r w:rsidR="00CB4D15">
                        <w:rPr>
                          <w:b/>
                          <w:color w:val="FFFFFF"/>
                          <w:sz w:val="16"/>
                          <w:szCs w:val="16"/>
                        </w:rPr>
                        <w:t>16</w:t>
                      </w:r>
                    </w:p>
                    <w:p w:rsidR="00DB6658" w:rsidRDefault="00DB6658" w:rsidP="005C3D66">
                      <w:pPr>
                        <w:pStyle w:val="Sansinterligne"/>
                        <w:rPr>
                          <w:b/>
                          <w:color w:val="FFFFFF"/>
                          <w:sz w:val="16"/>
                          <w:szCs w:val="16"/>
                        </w:rPr>
                      </w:pPr>
                    </w:p>
                    <w:p w:rsidR="00DB6658" w:rsidRDefault="006D01FF" w:rsidP="005C3D66">
                      <w:pPr>
                        <w:pStyle w:val="Sansinterligne"/>
                        <w:rPr>
                          <w:b/>
                          <w:color w:val="FFFFFF"/>
                          <w:sz w:val="16"/>
                          <w:szCs w:val="16"/>
                        </w:rPr>
                      </w:pPr>
                      <w:r>
                        <w:rPr>
                          <w:b/>
                          <w:color w:val="FFFFFF"/>
                          <w:sz w:val="16"/>
                          <w:szCs w:val="16"/>
                        </w:rPr>
                        <w:t>Quorum :</w:t>
                      </w:r>
                      <w:r>
                        <w:rPr>
                          <w:b/>
                          <w:color w:val="FFFFFF"/>
                          <w:sz w:val="16"/>
                          <w:szCs w:val="16"/>
                        </w:rPr>
                        <w:tab/>
                      </w:r>
                      <w:r>
                        <w:rPr>
                          <w:b/>
                          <w:color w:val="FFFFFF"/>
                          <w:sz w:val="16"/>
                          <w:szCs w:val="16"/>
                        </w:rPr>
                        <w:tab/>
                      </w:r>
                      <w:r w:rsidR="00DC3282">
                        <w:rPr>
                          <w:b/>
                          <w:color w:val="FFFFFF"/>
                          <w:sz w:val="16"/>
                          <w:szCs w:val="16"/>
                        </w:rPr>
                        <w:t>19</w:t>
                      </w:r>
                    </w:p>
                    <w:p w:rsidR="00DB6658" w:rsidRDefault="00CB4D15" w:rsidP="005C3D66">
                      <w:pPr>
                        <w:pStyle w:val="Sansinterligne"/>
                        <w:rPr>
                          <w:b/>
                          <w:color w:val="FFFFFF"/>
                          <w:sz w:val="16"/>
                          <w:szCs w:val="16"/>
                        </w:rPr>
                      </w:pPr>
                      <w:r>
                        <w:rPr>
                          <w:b/>
                          <w:color w:val="FFFFFF"/>
                          <w:sz w:val="16"/>
                          <w:szCs w:val="16"/>
                        </w:rPr>
                        <w:t>Votants :</w:t>
                      </w:r>
                      <w:r>
                        <w:rPr>
                          <w:b/>
                          <w:color w:val="FFFFFF"/>
                          <w:sz w:val="16"/>
                          <w:szCs w:val="16"/>
                        </w:rPr>
                        <w:tab/>
                      </w:r>
                      <w:r>
                        <w:rPr>
                          <w:b/>
                          <w:color w:val="FFFFFF"/>
                          <w:sz w:val="16"/>
                          <w:szCs w:val="16"/>
                        </w:rPr>
                        <w:tab/>
                        <w:t>20</w:t>
                      </w:r>
                    </w:p>
                    <w:p w:rsidR="00DB6658" w:rsidRDefault="00DB6658" w:rsidP="005C3D66">
                      <w:pPr>
                        <w:shd w:val="clear" w:color="auto" w:fill="595959"/>
                        <w:tabs>
                          <w:tab w:val="left" w:pos="1276"/>
                        </w:tabs>
                        <w:rPr>
                          <w:b/>
                          <w:color w:val="FFFFFF"/>
                          <w:sz w:val="16"/>
                          <w:szCs w:val="16"/>
                        </w:rPr>
                      </w:pPr>
                    </w:p>
                    <w:p w:rsidR="00DB6658" w:rsidRDefault="00DB6658" w:rsidP="005C3D66">
                      <w:pPr>
                        <w:shd w:val="clear" w:color="auto" w:fill="595959"/>
                        <w:tabs>
                          <w:tab w:val="left" w:pos="1276"/>
                        </w:tabs>
                        <w:rPr>
                          <w:b/>
                          <w:color w:val="FFFFFF"/>
                          <w:sz w:val="16"/>
                          <w:szCs w:val="16"/>
                        </w:rPr>
                      </w:pPr>
                      <w:r>
                        <w:rPr>
                          <w:b/>
                          <w:color w:val="FFFFFF"/>
                          <w:sz w:val="16"/>
                          <w:szCs w:val="16"/>
                        </w:rPr>
                        <w:t>Réception par le Préfet </w:t>
                      </w:r>
                    </w:p>
                    <w:p w:rsidR="00DB6658" w:rsidRDefault="00652E80" w:rsidP="005C3D66">
                      <w:pPr>
                        <w:shd w:val="clear" w:color="auto" w:fill="595959"/>
                        <w:tabs>
                          <w:tab w:val="left" w:pos="1276"/>
                        </w:tabs>
                        <w:rPr>
                          <w:b/>
                          <w:color w:val="FFFFFF"/>
                          <w:sz w:val="16"/>
                          <w:szCs w:val="16"/>
                        </w:rPr>
                      </w:pPr>
                      <w:r>
                        <w:rPr>
                          <w:b/>
                          <w:color w:val="FFFFFF"/>
                          <w:sz w:val="16"/>
                          <w:szCs w:val="16"/>
                        </w:rPr>
                        <w:t>01/10/2019</w:t>
                      </w:r>
                    </w:p>
                    <w:p w:rsidR="00DB6658" w:rsidRDefault="00DB6658" w:rsidP="005C3D66">
                      <w:pPr>
                        <w:shd w:val="clear" w:color="auto" w:fill="595959"/>
                        <w:tabs>
                          <w:tab w:val="left" w:pos="1276"/>
                        </w:tabs>
                        <w:rPr>
                          <w:b/>
                          <w:color w:val="FFFFFF"/>
                          <w:sz w:val="16"/>
                          <w:szCs w:val="16"/>
                        </w:rPr>
                      </w:pPr>
                      <w:r>
                        <w:rPr>
                          <w:b/>
                          <w:color w:val="FFFFFF"/>
                          <w:sz w:val="16"/>
                          <w:szCs w:val="16"/>
                        </w:rPr>
                        <w:t>Publication</w:t>
                      </w:r>
                    </w:p>
                    <w:p w:rsidR="00985188" w:rsidRDefault="00652E80" w:rsidP="005C3D66">
                      <w:pPr>
                        <w:shd w:val="clear" w:color="auto" w:fill="595959"/>
                        <w:tabs>
                          <w:tab w:val="left" w:pos="1276"/>
                        </w:tabs>
                        <w:rPr>
                          <w:b/>
                          <w:color w:val="FFFFFF"/>
                          <w:sz w:val="16"/>
                          <w:szCs w:val="16"/>
                        </w:rPr>
                      </w:pPr>
                      <w:r>
                        <w:rPr>
                          <w:b/>
                          <w:color w:val="FFFFFF"/>
                          <w:sz w:val="16"/>
                          <w:szCs w:val="16"/>
                        </w:rPr>
                        <w:t>02/10/2019</w:t>
                      </w:r>
                    </w:p>
                  </w:txbxContent>
                </v:textbox>
                <w10:wrap type="square" anchorx="margin" anchory="margin"/>
              </v:shape>
            </w:pict>
          </mc:Fallback>
        </mc:AlternateContent>
      </w:r>
      <w:r w:rsidR="00AA79CC" w:rsidRPr="001F3B99">
        <w:rPr>
          <w:rFonts w:asciiTheme="minorHAnsi" w:hAnsiTheme="minorHAnsi"/>
          <w:noProof/>
          <w:sz w:val="20"/>
          <w:szCs w:val="20"/>
        </w:rPr>
        <w:t xml:space="preserve">L'an deux mil dix-neuf, le </w:t>
      </w:r>
      <w:r w:rsidR="00DC3282">
        <w:rPr>
          <w:rFonts w:asciiTheme="minorHAnsi" w:hAnsiTheme="minorHAnsi"/>
          <w:noProof/>
          <w:sz w:val="20"/>
          <w:szCs w:val="20"/>
        </w:rPr>
        <w:t>dix-sept septembre</w:t>
      </w:r>
      <w:r w:rsidR="00AA79CC" w:rsidRPr="001F3B99">
        <w:rPr>
          <w:rFonts w:asciiTheme="minorHAnsi" w:hAnsiTheme="minorHAnsi"/>
          <w:noProof/>
          <w:sz w:val="20"/>
          <w:szCs w:val="20"/>
        </w:rPr>
        <w:t xml:space="preserve"> à </w:t>
      </w:r>
      <w:r w:rsidR="00B73B9C" w:rsidRPr="001F3B99">
        <w:rPr>
          <w:rFonts w:asciiTheme="minorHAnsi" w:hAnsiTheme="minorHAnsi"/>
          <w:noProof/>
          <w:sz w:val="20"/>
          <w:szCs w:val="20"/>
        </w:rPr>
        <w:t>dix</w:t>
      </w:r>
      <w:r w:rsidR="00AA79CC" w:rsidRPr="001F3B99">
        <w:rPr>
          <w:rFonts w:asciiTheme="minorHAnsi" w:hAnsiTheme="minorHAnsi"/>
          <w:noProof/>
          <w:sz w:val="20"/>
          <w:szCs w:val="20"/>
        </w:rPr>
        <w:t xml:space="preserve"> heures</w:t>
      </w:r>
      <w:r w:rsidR="00B73B9C" w:rsidRPr="001F3B99">
        <w:rPr>
          <w:rFonts w:asciiTheme="minorHAnsi" w:hAnsiTheme="minorHAnsi"/>
          <w:noProof/>
          <w:sz w:val="20"/>
          <w:szCs w:val="20"/>
        </w:rPr>
        <w:t xml:space="preserve"> trente</w:t>
      </w:r>
      <w:r w:rsidR="00AA79CC" w:rsidRPr="001F3B99">
        <w:rPr>
          <w:rFonts w:asciiTheme="minorHAnsi" w:hAnsiTheme="minorHAnsi"/>
          <w:noProof/>
          <w:sz w:val="20"/>
          <w:szCs w:val="20"/>
        </w:rPr>
        <w:t xml:space="preserve">, le Comité du SYNDICAT DEPARTEMENTAL D'ENERGIE 35, dûment convoqué le </w:t>
      </w:r>
      <w:r w:rsidR="00DC3282">
        <w:rPr>
          <w:rFonts w:asciiTheme="minorHAnsi" w:hAnsiTheme="minorHAnsi"/>
          <w:noProof/>
          <w:sz w:val="20"/>
          <w:szCs w:val="20"/>
        </w:rPr>
        <w:t>dix septembre</w:t>
      </w:r>
      <w:r w:rsidR="00AA79CC" w:rsidRPr="001F3B99">
        <w:rPr>
          <w:rFonts w:asciiTheme="minorHAnsi" w:hAnsiTheme="minorHAnsi"/>
          <w:noProof/>
          <w:sz w:val="20"/>
          <w:szCs w:val="20"/>
        </w:rPr>
        <w:t xml:space="preserve"> deux mille dix-neuf, s'est réuni </w:t>
      </w:r>
      <w:r w:rsidR="00DC3282">
        <w:rPr>
          <w:rFonts w:asciiTheme="minorHAnsi" w:hAnsiTheme="minorHAnsi"/>
          <w:noProof/>
          <w:sz w:val="20"/>
          <w:szCs w:val="20"/>
        </w:rPr>
        <w:t xml:space="preserve">dans les locaux du Syndicat départemental d’énergie 35 </w:t>
      </w:r>
      <w:r w:rsidR="00AA79CC" w:rsidRPr="001F3B99">
        <w:rPr>
          <w:rFonts w:asciiTheme="minorHAnsi" w:hAnsiTheme="minorHAnsi"/>
          <w:noProof/>
          <w:sz w:val="20"/>
          <w:szCs w:val="20"/>
        </w:rPr>
        <w:t>sous la présidence de Didier NOUYOU, Président</w:t>
      </w:r>
      <w:r w:rsidR="00AA79CC" w:rsidRPr="001F3B99">
        <w:rPr>
          <w:rFonts w:asciiTheme="minorHAnsi" w:hAnsiTheme="minorHAnsi"/>
          <w:sz w:val="20"/>
          <w:szCs w:val="20"/>
        </w:rPr>
        <w:t>.</w:t>
      </w:r>
    </w:p>
    <w:p w:rsidR="005C3D66" w:rsidRPr="00730A5A" w:rsidRDefault="005C3D66" w:rsidP="005C3D66">
      <w:pPr>
        <w:tabs>
          <w:tab w:val="left" w:pos="8647"/>
        </w:tabs>
        <w:ind w:left="2127" w:right="-2"/>
        <w:rPr>
          <w:sz w:val="10"/>
          <w:szCs w:val="10"/>
        </w:rPr>
      </w:pPr>
    </w:p>
    <w:p w:rsidR="00AA79CC" w:rsidRPr="00AA79CC" w:rsidRDefault="00AA79CC" w:rsidP="00AA79CC">
      <w:pPr>
        <w:pStyle w:val="Normal9pt"/>
        <w:tabs>
          <w:tab w:val="left" w:pos="8647"/>
        </w:tabs>
        <w:spacing w:after="0" w:line="240" w:lineRule="auto"/>
        <w:ind w:right="-2"/>
        <w:rPr>
          <w:rFonts w:asciiTheme="minorHAnsi" w:eastAsia="Calibri" w:hAnsiTheme="minorHAnsi" w:cs="Calibri"/>
          <w:sz w:val="20"/>
          <w:szCs w:val="20"/>
          <w:lang w:val="fr-FR" w:eastAsia="fr-FR"/>
        </w:rPr>
      </w:pPr>
      <w:r w:rsidRPr="00AA79CC">
        <w:rPr>
          <w:rFonts w:asciiTheme="minorHAnsi" w:eastAsia="Calibri" w:hAnsiTheme="minorHAnsi" w:cs="Calibri"/>
          <w:sz w:val="20"/>
          <w:szCs w:val="20"/>
          <w:lang w:val="fr-FR" w:eastAsia="fr-FR"/>
        </w:rPr>
        <w:t xml:space="preserve">Présents : </w:t>
      </w:r>
      <w:r w:rsidRPr="00E2118A">
        <w:rPr>
          <w:rFonts w:asciiTheme="minorHAnsi" w:eastAsia="Calibri" w:hAnsiTheme="minorHAnsi" w:cs="Calibri"/>
          <w:sz w:val="20"/>
          <w:szCs w:val="20"/>
          <w:lang w:val="fr-FR" w:eastAsia="fr-FR"/>
        </w:rPr>
        <w:t xml:space="preserve">Didier NOUYOU, Président, </w:t>
      </w:r>
      <w:r w:rsidR="00DB6658" w:rsidRPr="00E2118A">
        <w:rPr>
          <w:rFonts w:asciiTheme="minorHAnsi" w:eastAsia="Calibri" w:hAnsiTheme="minorHAnsi" w:cs="Calibri"/>
          <w:sz w:val="20"/>
          <w:szCs w:val="20"/>
          <w:lang w:val="fr-FR" w:eastAsia="fr-FR"/>
        </w:rPr>
        <w:t>Christophe MARTINS-MARQUES, Jean-Claude BELINE,</w:t>
      </w:r>
      <w:r w:rsidRPr="00E2118A">
        <w:rPr>
          <w:rFonts w:asciiTheme="minorHAnsi" w:eastAsia="Calibri" w:hAnsiTheme="minorHAnsi" w:cs="Calibri"/>
          <w:sz w:val="20"/>
          <w:szCs w:val="20"/>
          <w:lang w:val="fr-FR" w:eastAsia="fr-FR"/>
        </w:rPr>
        <w:t xml:space="preserve"> Daniel GUILLOTIN</w:t>
      </w:r>
      <w:r w:rsidR="00230762" w:rsidRPr="00E2118A">
        <w:rPr>
          <w:rFonts w:asciiTheme="minorHAnsi" w:eastAsia="Calibri" w:hAnsiTheme="minorHAnsi" w:cs="Calibri"/>
          <w:sz w:val="20"/>
          <w:szCs w:val="20"/>
          <w:lang w:val="fr-FR" w:eastAsia="fr-FR"/>
        </w:rPr>
        <w:t xml:space="preserve"> (jusqu’au point 15)</w:t>
      </w:r>
      <w:r w:rsidR="00E2118A" w:rsidRPr="00E2118A">
        <w:rPr>
          <w:rFonts w:asciiTheme="minorHAnsi" w:eastAsia="Calibri" w:hAnsiTheme="minorHAnsi" w:cs="Calibri"/>
          <w:sz w:val="20"/>
          <w:szCs w:val="20"/>
          <w:lang w:val="fr-FR" w:eastAsia="fr-FR"/>
        </w:rPr>
        <w:t xml:space="preserve"> et </w:t>
      </w:r>
      <w:r w:rsidR="00DB6658" w:rsidRPr="00E2118A">
        <w:rPr>
          <w:rFonts w:asciiTheme="minorHAnsi" w:eastAsia="Calibri" w:hAnsiTheme="minorHAnsi" w:cs="Calibri"/>
          <w:sz w:val="20"/>
          <w:szCs w:val="20"/>
          <w:lang w:val="fr-FR" w:eastAsia="fr-FR"/>
        </w:rPr>
        <w:t>Loïc GODET, Vice-présidents,</w:t>
      </w:r>
      <w:r w:rsidR="00E2118A" w:rsidRPr="00E2118A">
        <w:rPr>
          <w:rFonts w:asciiTheme="minorHAnsi" w:eastAsia="Calibri" w:hAnsiTheme="minorHAnsi" w:cs="Calibri"/>
          <w:sz w:val="20"/>
          <w:szCs w:val="20"/>
          <w:lang w:val="fr-FR" w:eastAsia="fr-FR"/>
        </w:rPr>
        <w:t xml:space="preserve"> </w:t>
      </w:r>
      <w:r w:rsidR="00CB4D15">
        <w:rPr>
          <w:rFonts w:asciiTheme="minorHAnsi" w:eastAsia="Calibri" w:hAnsiTheme="minorHAnsi" w:cs="Calibri"/>
          <w:sz w:val="20"/>
          <w:szCs w:val="20"/>
          <w:lang w:val="fr-FR" w:eastAsia="fr-FR"/>
        </w:rPr>
        <w:t xml:space="preserve">Maurice BEAUGENDRE, </w:t>
      </w:r>
      <w:r w:rsidR="00E2118A" w:rsidRPr="00E2118A">
        <w:rPr>
          <w:rFonts w:asciiTheme="minorHAnsi" w:eastAsia="Calibri" w:hAnsiTheme="minorHAnsi" w:cs="Calibri"/>
          <w:sz w:val="20"/>
          <w:szCs w:val="20"/>
          <w:lang w:val="fr-FR" w:eastAsia="fr-FR"/>
        </w:rPr>
        <w:t xml:space="preserve">Michel BENEDETTI, </w:t>
      </w:r>
      <w:r w:rsidRPr="00E2118A">
        <w:rPr>
          <w:rFonts w:asciiTheme="minorHAnsi" w:eastAsia="Calibri" w:hAnsiTheme="minorHAnsi" w:cs="Calibri"/>
          <w:sz w:val="20"/>
          <w:szCs w:val="20"/>
          <w:lang w:val="fr-FR" w:eastAsia="fr-FR"/>
        </w:rPr>
        <w:t xml:space="preserve">Albert COMBY, Alain COSSONNIERE, </w:t>
      </w:r>
      <w:r w:rsidR="00985188" w:rsidRPr="00E2118A">
        <w:rPr>
          <w:rFonts w:asciiTheme="minorHAnsi" w:eastAsia="Calibri" w:hAnsiTheme="minorHAnsi" w:cs="Calibri"/>
          <w:sz w:val="20"/>
          <w:szCs w:val="20"/>
          <w:lang w:val="fr-FR" w:eastAsia="fr-FR"/>
        </w:rPr>
        <w:t>André CROGUENNEC</w:t>
      </w:r>
      <w:r w:rsidR="00E2118A" w:rsidRPr="00E2118A">
        <w:rPr>
          <w:rFonts w:asciiTheme="minorHAnsi" w:eastAsia="Calibri" w:hAnsiTheme="minorHAnsi" w:cs="Calibri"/>
          <w:sz w:val="20"/>
          <w:szCs w:val="20"/>
          <w:lang w:val="fr-FR" w:eastAsia="fr-FR"/>
        </w:rPr>
        <w:t xml:space="preserve"> (jusqu’au point 8)</w:t>
      </w:r>
      <w:r w:rsidR="00985188" w:rsidRPr="00E2118A">
        <w:rPr>
          <w:rFonts w:asciiTheme="minorHAnsi" w:eastAsia="Calibri" w:hAnsiTheme="minorHAnsi" w:cs="Calibri"/>
          <w:sz w:val="20"/>
          <w:szCs w:val="20"/>
          <w:lang w:val="fr-FR" w:eastAsia="fr-FR"/>
        </w:rPr>
        <w:t xml:space="preserve">, Yvonnick DAVID, </w:t>
      </w:r>
      <w:r w:rsidRPr="00E2118A">
        <w:rPr>
          <w:rFonts w:asciiTheme="minorHAnsi" w:eastAsia="Calibri" w:hAnsiTheme="minorHAnsi" w:cs="Calibri"/>
          <w:sz w:val="20"/>
          <w:szCs w:val="20"/>
          <w:lang w:val="fr-FR" w:eastAsia="fr-FR"/>
        </w:rPr>
        <w:t xml:space="preserve">André DAVY, </w:t>
      </w:r>
      <w:r w:rsidR="00E2118A" w:rsidRPr="00E2118A">
        <w:rPr>
          <w:rFonts w:asciiTheme="minorHAnsi" w:eastAsia="Calibri" w:hAnsiTheme="minorHAnsi" w:cs="Calibri"/>
          <w:sz w:val="20"/>
          <w:szCs w:val="20"/>
          <w:lang w:val="fr-FR" w:eastAsia="fr-FR"/>
        </w:rPr>
        <w:t xml:space="preserve">Olivier DEHAESE, </w:t>
      </w:r>
      <w:r w:rsidR="006D01FF" w:rsidRPr="00E2118A">
        <w:rPr>
          <w:rFonts w:asciiTheme="minorHAnsi" w:eastAsia="Calibri" w:hAnsiTheme="minorHAnsi" w:cs="Calibri"/>
          <w:sz w:val="20"/>
          <w:szCs w:val="20"/>
          <w:lang w:val="fr-FR" w:eastAsia="fr-FR"/>
        </w:rPr>
        <w:t>Michel JEULAND</w:t>
      </w:r>
      <w:r w:rsidRPr="00E2118A">
        <w:rPr>
          <w:rFonts w:asciiTheme="minorHAnsi" w:eastAsia="Calibri" w:hAnsiTheme="minorHAnsi" w:cs="Calibri"/>
          <w:sz w:val="20"/>
          <w:szCs w:val="20"/>
          <w:lang w:val="fr-FR" w:eastAsia="fr-FR"/>
        </w:rPr>
        <w:t xml:space="preserve">, Patrick LE GUYADER, </w:t>
      </w:r>
      <w:r w:rsidR="00E2118A" w:rsidRPr="00E2118A">
        <w:rPr>
          <w:rFonts w:asciiTheme="minorHAnsi" w:eastAsia="Calibri" w:hAnsiTheme="minorHAnsi" w:cs="Calibri"/>
          <w:sz w:val="20"/>
          <w:szCs w:val="20"/>
          <w:lang w:val="fr-FR" w:eastAsia="fr-FR"/>
        </w:rPr>
        <w:t xml:space="preserve">Robert MONNIER, </w:t>
      </w:r>
      <w:r w:rsidRPr="00E2118A">
        <w:rPr>
          <w:rFonts w:asciiTheme="minorHAnsi" w:eastAsia="Calibri" w:hAnsiTheme="minorHAnsi" w:cs="Calibri"/>
          <w:sz w:val="20"/>
          <w:szCs w:val="20"/>
          <w:lang w:val="fr-FR" w:eastAsia="fr-FR"/>
        </w:rPr>
        <w:t xml:space="preserve">Jean-Luc MORLAIS, </w:t>
      </w:r>
      <w:r w:rsidR="00CB4D15">
        <w:rPr>
          <w:rFonts w:asciiTheme="minorHAnsi" w:eastAsia="Calibri" w:hAnsiTheme="minorHAnsi" w:cs="Calibri"/>
          <w:sz w:val="20"/>
          <w:szCs w:val="20"/>
          <w:lang w:val="fr-FR" w:eastAsia="fr-FR"/>
        </w:rPr>
        <w:t>Jacques PO</w:t>
      </w:r>
      <w:r w:rsidR="00E2118A" w:rsidRPr="00E2118A">
        <w:rPr>
          <w:rFonts w:asciiTheme="minorHAnsi" w:eastAsia="Calibri" w:hAnsiTheme="minorHAnsi" w:cs="Calibri"/>
          <w:sz w:val="20"/>
          <w:szCs w:val="20"/>
          <w:lang w:val="fr-FR" w:eastAsia="fr-FR"/>
        </w:rPr>
        <w:t xml:space="preserve">UPART, </w:t>
      </w:r>
      <w:r w:rsidR="00985188" w:rsidRPr="00E2118A">
        <w:rPr>
          <w:rFonts w:asciiTheme="minorHAnsi" w:eastAsia="Calibri" w:hAnsiTheme="minorHAnsi" w:cs="Calibri"/>
          <w:sz w:val="20"/>
          <w:szCs w:val="20"/>
          <w:lang w:val="fr-FR" w:eastAsia="fr-FR"/>
        </w:rPr>
        <w:t xml:space="preserve">Jacques RENAULT </w:t>
      </w:r>
      <w:r w:rsidR="00DB6658" w:rsidRPr="00E2118A">
        <w:rPr>
          <w:rFonts w:asciiTheme="minorHAnsi" w:eastAsia="Calibri" w:hAnsiTheme="minorHAnsi" w:cs="Calibri"/>
          <w:sz w:val="20"/>
          <w:szCs w:val="20"/>
          <w:lang w:val="fr-FR" w:eastAsia="fr-FR"/>
        </w:rPr>
        <w:t>et Daniel TANCEREL</w:t>
      </w:r>
      <w:r w:rsidRPr="00E2118A">
        <w:rPr>
          <w:rFonts w:asciiTheme="minorHAnsi" w:eastAsia="Calibri" w:hAnsiTheme="minorHAnsi" w:cs="Calibri"/>
          <w:sz w:val="20"/>
          <w:szCs w:val="20"/>
          <w:lang w:val="fr-FR" w:eastAsia="fr-FR"/>
        </w:rPr>
        <w:t>, délégués titulaires.</w:t>
      </w:r>
    </w:p>
    <w:p w:rsidR="00AA79CC" w:rsidRPr="00AA79CC" w:rsidRDefault="00AA79CC" w:rsidP="00AA79CC">
      <w:pPr>
        <w:pStyle w:val="Normal9pt"/>
        <w:tabs>
          <w:tab w:val="left" w:pos="8647"/>
        </w:tabs>
        <w:spacing w:after="0" w:line="240" w:lineRule="auto"/>
        <w:ind w:right="-2"/>
        <w:rPr>
          <w:rFonts w:asciiTheme="minorHAnsi" w:eastAsia="Calibri" w:hAnsiTheme="minorHAnsi" w:cs="Calibri"/>
          <w:sz w:val="10"/>
          <w:szCs w:val="10"/>
          <w:lang w:val="fr-FR" w:eastAsia="fr-FR"/>
        </w:rPr>
      </w:pPr>
    </w:p>
    <w:p w:rsidR="00AA79CC" w:rsidRDefault="00AA79CC" w:rsidP="00AA79CC">
      <w:pPr>
        <w:pStyle w:val="Normal9pt"/>
        <w:tabs>
          <w:tab w:val="left" w:pos="8647"/>
        </w:tabs>
        <w:spacing w:after="0" w:line="240" w:lineRule="auto"/>
        <w:ind w:right="-2"/>
        <w:rPr>
          <w:rFonts w:asciiTheme="minorHAnsi" w:eastAsia="Calibri" w:hAnsiTheme="minorHAnsi" w:cs="Calibri"/>
          <w:sz w:val="20"/>
          <w:szCs w:val="20"/>
          <w:lang w:val="fr-FR" w:eastAsia="fr-FR"/>
        </w:rPr>
      </w:pPr>
      <w:r w:rsidRPr="00AA79CC">
        <w:rPr>
          <w:rFonts w:asciiTheme="minorHAnsi" w:eastAsia="Calibri" w:hAnsiTheme="minorHAnsi" w:cs="Calibri"/>
          <w:sz w:val="20"/>
          <w:szCs w:val="20"/>
          <w:lang w:val="fr-FR" w:eastAsia="fr-FR"/>
        </w:rPr>
        <w:t xml:space="preserve">Absents ou excusés : </w:t>
      </w:r>
      <w:r w:rsidR="00CB4D15">
        <w:rPr>
          <w:rFonts w:asciiTheme="minorHAnsi" w:eastAsia="Calibri" w:hAnsiTheme="minorHAnsi" w:cs="Calibri"/>
          <w:sz w:val="20"/>
          <w:szCs w:val="20"/>
          <w:lang w:val="fr-FR" w:eastAsia="fr-FR"/>
        </w:rPr>
        <w:t>Jean-Luc DUPUY, Vice-président, Camille BOND</w:t>
      </w:r>
      <w:r w:rsidR="00CB4D15" w:rsidRPr="00CB4D15">
        <w:rPr>
          <w:rFonts w:asciiTheme="minorHAnsi" w:eastAsia="Calibri" w:hAnsiTheme="minorHAnsi" w:cs="Calibri"/>
          <w:sz w:val="20"/>
          <w:szCs w:val="20"/>
          <w:lang w:val="fr-FR" w:eastAsia="fr-FR"/>
        </w:rPr>
        <w:t>U</w:t>
      </w:r>
      <w:r w:rsidR="006D01FF" w:rsidRPr="00CB4D15">
        <w:rPr>
          <w:rFonts w:asciiTheme="minorHAnsi" w:eastAsia="Calibri" w:hAnsiTheme="minorHAnsi" w:cs="Calibri"/>
          <w:sz w:val="20"/>
          <w:szCs w:val="20"/>
          <w:lang w:val="fr-FR" w:eastAsia="fr-FR"/>
        </w:rPr>
        <w:t xml:space="preserve">, </w:t>
      </w:r>
      <w:r w:rsidR="00CB4D15" w:rsidRPr="00CB4D15">
        <w:rPr>
          <w:rFonts w:asciiTheme="minorHAnsi" w:eastAsia="Calibri" w:hAnsiTheme="minorHAnsi" w:cs="Calibri"/>
          <w:sz w:val="20"/>
          <w:szCs w:val="20"/>
          <w:lang w:val="fr-FR" w:eastAsia="fr-FR"/>
        </w:rPr>
        <w:t xml:space="preserve">Jean-Pierre DELAUNAY, Valérie DESTRUHAUT, </w:t>
      </w:r>
      <w:r w:rsidRPr="00CB4D15">
        <w:rPr>
          <w:rFonts w:asciiTheme="minorHAnsi" w:eastAsia="Calibri" w:hAnsiTheme="minorHAnsi" w:cs="Calibri"/>
          <w:sz w:val="20"/>
          <w:szCs w:val="20"/>
          <w:lang w:val="fr-FR" w:eastAsia="fr-FR"/>
        </w:rPr>
        <w:t xml:space="preserve">Didier DUPERRIN, </w:t>
      </w:r>
      <w:r w:rsidR="006D01FF" w:rsidRPr="00CB4D15">
        <w:rPr>
          <w:rFonts w:asciiTheme="minorHAnsi" w:eastAsia="Calibri" w:hAnsiTheme="minorHAnsi" w:cs="Calibri"/>
          <w:sz w:val="20"/>
          <w:szCs w:val="20"/>
          <w:lang w:val="fr-FR" w:eastAsia="fr-FR"/>
        </w:rPr>
        <w:t xml:space="preserve">Valérie DESTRUHAUT, </w:t>
      </w:r>
      <w:r w:rsidRPr="00CB4D15">
        <w:rPr>
          <w:rFonts w:asciiTheme="minorHAnsi" w:eastAsia="Calibri" w:hAnsiTheme="minorHAnsi" w:cs="Calibri"/>
          <w:sz w:val="20"/>
          <w:szCs w:val="20"/>
          <w:lang w:val="fr-FR" w:eastAsia="fr-FR"/>
        </w:rPr>
        <w:t xml:space="preserve">Jean-Yves GOMMELET, </w:t>
      </w:r>
      <w:r w:rsidR="00DB6658" w:rsidRPr="00CB4D15">
        <w:rPr>
          <w:rFonts w:asciiTheme="minorHAnsi" w:eastAsia="Calibri" w:hAnsiTheme="minorHAnsi" w:cs="Calibri"/>
          <w:sz w:val="20"/>
          <w:szCs w:val="20"/>
          <w:lang w:val="fr-FR" w:eastAsia="fr-FR"/>
        </w:rPr>
        <w:t xml:space="preserve">Claude GUERIN, </w:t>
      </w:r>
      <w:r w:rsidRPr="00CB4D15">
        <w:rPr>
          <w:rFonts w:asciiTheme="minorHAnsi" w:eastAsia="Calibri" w:hAnsiTheme="minorHAnsi" w:cs="Calibri"/>
          <w:sz w:val="20"/>
          <w:szCs w:val="20"/>
          <w:lang w:val="fr-FR" w:eastAsia="fr-FR"/>
        </w:rPr>
        <w:t>Gurval GUIGUEN, Jean-Yves INIZAN, Dominique KERJOUAN,</w:t>
      </w:r>
      <w:r w:rsidR="00DB6658" w:rsidRPr="00CB4D15">
        <w:rPr>
          <w:rFonts w:asciiTheme="minorHAnsi" w:eastAsia="Calibri" w:hAnsiTheme="minorHAnsi" w:cs="Calibri"/>
          <w:sz w:val="20"/>
          <w:szCs w:val="20"/>
          <w:lang w:val="fr-FR" w:eastAsia="fr-FR"/>
        </w:rPr>
        <w:t xml:space="preserve"> </w:t>
      </w:r>
      <w:r w:rsidR="006D01FF" w:rsidRPr="00CB4D15">
        <w:rPr>
          <w:rFonts w:asciiTheme="minorHAnsi" w:eastAsia="Calibri" w:hAnsiTheme="minorHAnsi" w:cs="Calibri"/>
          <w:sz w:val="20"/>
          <w:szCs w:val="20"/>
          <w:lang w:val="fr-FR" w:eastAsia="fr-FR"/>
        </w:rPr>
        <w:t xml:space="preserve">André LATREILLE, </w:t>
      </w:r>
      <w:r w:rsidRPr="00CB4D15">
        <w:rPr>
          <w:rFonts w:asciiTheme="minorHAnsi" w:eastAsia="Calibri" w:hAnsiTheme="minorHAnsi" w:cs="Calibri"/>
          <w:sz w:val="20"/>
          <w:szCs w:val="20"/>
          <w:lang w:val="fr-FR" w:eastAsia="fr-FR"/>
        </w:rPr>
        <w:t>Yannick NADESAN,</w:t>
      </w:r>
      <w:r w:rsidR="00CB4D15" w:rsidRPr="00CB4D15">
        <w:rPr>
          <w:rFonts w:asciiTheme="minorHAnsi" w:eastAsia="Calibri" w:hAnsiTheme="minorHAnsi" w:cs="Calibri"/>
          <w:sz w:val="20"/>
          <w:szCs w:val="20"/>
          <w:lang w:val="fr-FR" w:eastAsia="fr-FR"/>
        </w:rPr>
        <w:t xml:space="preserve"> Franck NOEL, Alain PAUL</w:t>
      </w:r>
      <w:r w:rsidRPr="00CB4D15">
        <w:rPr>
          <w:rFonts w:asciiTheme="minorHAnsi" w:eastAsia="Calibri" w:hAnsiTheme="minorHAnsi" w:cs="Calibri"/>
          <w:sz w:val="20"/>
          <w:szCs w:val="20"/>
          <w:lang w:val="fr-FR" w:eastAsia="fr-FR"/>
        </w:rPr>
        <w:t xml:space="preserve"> et </w:t>
      </w:r>
      <w:r w:rsidR="00DB6658" w:rsidRPr="00CB4D15">
        <w:rPr>
          <w:rFonts w:asciiTheme="minorHAnsi" w:eastAsia="Calibri" w:hAnsiTheme="minorHAnsi" w:cs="Calibri"/>
          <w:sz w:val="20"/>
          <w:szCs w:val="20"/>
          <w:lang w:val="fr-FR" w:eastAsia="fr-FR"/>
        </w:rPr>
        <w:t>Patrick SAULTIER</w:t>
      </w:r>
      <w:r w:rsidRPr="00CB4D15">
        <w:rPr>
          <w:rFonts w:asciiTheme="minorHAnsi" w:eastAsia="Calibri" w:hAnsiTheme="minorHAnsi" w:cs="Calibri"/>
          <w:sz w:val="20"/>
          <w:szCs w:val="20"/>
          <w:lang w:val="fr-FR" w:eastAsia="fr-FR"/>
        </w:rPr>
        <w:t>, délégués titulaires.</w:t>
      </w:r>
    </w:p>
    <w:p w:rsidR="006D01FF" w:rsidRPr="00AA79CC" w:rsidRDefault="006D01FF" w:rsidP="00AA79CC">
      <w:pPr>
        <w:pStyle w:val="Normal9pt"/>
        <w:tabs>
          <w:tab w:val="left" w:pos="8647"/>
        </w:tabs>
        <w:spacing w:after="0" w:line="240" w:lineRule="auto"/>
        <w:ind w:right="-2"/>
        <w:rPr>
          <w:rFonts w:asciiTheme="minorHAnsi" w:eastAsia="Calibri" w:hAnsiTheme="minorHAnsi" w:cs="Calibri"/>
          <w:sz w:val="10"/>
          <w:szCs w:val="10"/>
          <w:lang w:val="fr-FR" w:eastAsia="fr-FR"/>
        </w:rPr>
      </w:pPr>
    </w:p>
    <w:p w:rsidR="00AA79CC" w:rsidRPr="00AA79CC" w:rsidRDefault="00AA79CC" w:rsidP="00C01B3F">
      <w:pPr>
        <w:pStyle w:val="Normal9pt"/>
        <w:spacing w:after="0" w:line="240" w:lineRule="auto"/>
        <w:ind w:right="-2" w:firstLine="2268"/>
        <w:jc w:val="left"/>
        <w:rPr>
          <w:rFonts w:asciiTheme="minorHAnsi" w:eastAsia="Calibri" w:hAnsiTheme="minorHAnsi" w:cs="Calibri"/>
          <w:sz w:val="20"/>
          <w:szCs w:val="20"/>
          <w:lang w:val="fr-FR" w:eastAsia="fr-FR"/>
        </w:rPr>
      </w:pPr>
      <w:r w:rsidRPr="00AA79CC">
        <w:rPr>
          <w:rFonts w:asciiTheme="minorHAnsi" w:eastAsia="Calibri" w:hAnsiTheme="minorHAnsi" w:cs="Calibri"/>
          <w:sz w:val="20"/>
          <w:szCs w:val="20"/>
          <w:lang w:val="fr-FR" w:eastAsia="fr-FR"/>
        </w:rPr>
        <w:t>Secrétaire de séance : Jean-Claude BELINE</w:t>
      </w:r>
    </w:p>
    <w:p w:rsidR="00AA79CC" w:rsidRPr="00AA79CC" w:rsidRDefault="00AA79CC" w:rsidP="00AA79CC">
      <w:pPr>
        <w:pStyle w:val="Normal9pt"/>
        <w:tabs>
          <w:tab w:val="left" w:pos="8647"/>
        </w:tabs>
        <w:spacing w:after="0" w:line="240" w:lineRule="auto"/>
        <w:ind w:right="-2"/>
        <w:rPr>
          <w:rFonts w:asciiTheme="minorHAnsi" w:eastAsia="Calibri" w:hAnsiTheme="minorHAnsi" w:cs="Calibri"/>
          <w:sz w:val="10"/>
          <w:szCs w:val="10"/>
          <w:lang w:val="fr-FR" w:eastAsia="fr-FR"/>
        </w:rPr>
      </w:pPr>
    </w:p>
    <w:p w:rsidR="005C3D66" w:rsidRDefault="00AA79CC" w:rsidP="00CB4D15">
      <w:pPr>
        <w:pStyle w:val="Normal9pt"/>
        <w:tabs>
          <w:tab w:val="left" w:pos="8647"/>
        </w:tabs>
        <w:spacing w:after="0" w:line="240" w:lineRule="auto"/>
        <w:ind w:right="-2" w:firstLine="2268"/>
        <w:rPr>
          <w:sz w:val="20"/>
          <w:szCs w:val="20"/>
          <w:lang w:val="fr-FR"/>
        </w:rPr>
      </w:pPr>
      <w:r w:rsidRPr="00AA79CC">
        <w:rPr>
          <w:rFonts w:asciiTheme="minorHAnsi" w:eastAsia="Calibri" w:hAnsiTheme="minorHAnsi" w:cs="Calibri"/>
          <w:sz w:val="20"/>
          <w:szCs w:val="20"/>
          <w:lang w:val="fr-FR" w:eastAsia="fr-FR"/>
        </w:rPr>
        <w:t xml:space="preserve">Le Président déclare que le quorum est atteint, </w:t>
      </w:r>
      <w:r w:rsidRPr="00CB4D15">
        <w:rPr>
          <w:rFonts w:asciiTheme="minorHAnsi" w:eastAsia="Calibri" w:hAnsiTheme="minorHAnsi" w:cs="Calibri"/>
          <w:sz w:val="20"/>
          <w:szCs w:val="20"/>
          <w:lang w:val="fr-FR" w:eastAsia="fr-FR"/>
        </w:rPr>
        <w:t>2</w:t>
      </w:r>
      <w:r w:rsidR="00BA304E" w:rsidRPr="00CB4D15">
        <w:rPr>
          <w:rFonts w:asciiTheme="minorHAnsi" w:eastAsia="Calibri" w:hAnsiTheme="minorHAnsi" w:cs="Calibri"/>
          <w:sz w:val="20"/>
          <w:szCs w:val="20"/>
          <w:lang w:val="fr-FR" w:eastAsia="fr-FR"/>
        </w:rPr>
        <w:t>0</w:t>
      </w:r>
      <w:r w:rsidRPr="00AA79CC">
        <w:rPr>
          <w:rFonts w:asciiTheme="minorHAnsi" w:eastAsia="Calibri" w:hAnsiTheme="minorHAnsi" w:cs="Calibri"/>
          <w:sz w:val="20"/>
          <w:szCs w:val="20"/>
          <w:lang w:val="fr-FR" w:eastAsia="fr-FR"/>
        </w:rPr>
        <w:t xml:space="preserve"> membres sur les 36 membres en exercice étant présents, et que le </w:t>
      </w:r>
      <w:r w:rsidR="00BA304E">
        <w:rPr>
          <w:rFonts w:asciiTheme="minorHAnsi" w:eastAsia="Calibri" w:hAnsiTheme="minorHAnsi" w:cs="Calibri"/>
          <w:sz w:val="20"/>
          <w:szCs w:val="20"/>
          <w:lang w:val="fr-FR" w:eastAsia="fr-FR"/>
        </w:rPr>
        <w:t>Comité</w:t>
      </w:r>
      <w:r w:rsidRPr="00AA79CC">
        <w:rPr>
          <w:rFonts w:asciiTheme="minorHAnsi" w:eastAsia="Calibri" w:hAnsiTheme="minorHAnsi" w:cs="Calibri"/>
          <w:sz w:val="20"/>
          <w:szCs w:val="20"/>
          <w:lang w:val="fr-FR" w:eastAsia="fr-FR"/>
        </w:rPr>
        <w:t xml:space="preserve"> peut valablement délibérer</w:t>
      </w:r>
      <w:r w:rsidR="005C3D66" w:rsidRPr="00CB2253">
        <w:rPr>
          <w:sz w:val="20"/>
          <w:szCs w:val="20"/>
          <w:lang w:val="fr-FR"/>
        </w:rPr>
        <w:t>.</w:t>
      </w:r>
    </w:p>
    <w:p w:rsidR="00E5626F" w:rsidRDefault="00E5626F" w:rsidP="00CB4D15">
      <w:pPr>
        <w:pStyle w:val="Normal9pt"/>
        <w:tabs>
          <w:tab w:val="left" w:pos="8647"/>
        </w:tabs>
        <w:spacing w:after="0" w:line="240" w:lineRule="auto"/>
        <w:ind w:right="-2" w:firstLine="2268"/>
        <w:rPr>
          <w:sz w:val="20"/>
          <w:szCs w:val="20"/>
          <w:lang w:val="fr-FR"/>
        </w:rPr>
      </w:pPr>
    </w:p>
    <w:p w:rsidR="00D303F0" w:rsidRPr="00FB27C6" w:rsidRDefault="00D303F0" w:rsidP="002C51B0">
      <w:pPr>
        <w:pStyle w:val="Paragraphedeliste"/>
        <w:pBdr>
          <w:top w:val="single" w:sz="4" w:space="0" w:color="808080"/>
          <w:left w:val="single" w:sz="4" w:space="4" w:color="808080"/>
          <w:bottom w:val="single" w:sz="4" w:space="1" w:color="808080"/>
          <w:right w:val="single" w:sz="4" w:space="4" w:color="808080"/>
        </w:pBdr>
        <w:shd w:val="clear" w:color="auto" w:fill="595959"/>
        <w:ind w:left="0" w:right="-1"/>
        <w:rPr>
          <w:rFonts w:ascii="Venacti Sb" w:hAnsi="Venacti Sb"/>
          <w:color w:val="FFFFFF"/>
          <w:sz w:val="26"/>
          <w:szCs w:val="26"/>
          <w:lang w:eastAsia="en-US"/>
        </w:rPr>
      </w:pPr>
      <w:r w:rsidRPr="00FB27C6">
        <w:rPr>
          <w:rFonts w:ascii="Venacti Sb" w:hAnsi="Venacti Sb"/>
          <w:color w:val="FFFFFF"/>
          <w:sz w:val="26"/>
          <w:szCs w:val="26"/>
          <w:lang w:eastAsia="en-US"/>
        </w:rPr>
        <w:t>Ordre du jour</w:t>
      </w:r>
    </w:p>
    <w:p w:rsidR="00371260" w:rsidRDefault="00371260" w:rsidP="00371260">
      <w:pPr>
        <w:jc w:val="left"/>
        <w:rPr>
          <w:rFonts w:ascii="Calibri" w:hAnsi="Calibri"/>
          <w:bCs/>
          <w:i/>
          <w:szCs w:val="22"/>
        </w:rPr>
      </w:pPr>
      <w:bookmarkStart w:id="0" w:name="OLE_LINK1"/>
      <w:bookmarkStart w:id="1" w:name="OLE_LINK2"/>
    </w:p>
    <w:p w:rsidR="00E2118A" w:rsidRPr="00E2118A" w:rsidRDefault="00E2118A" w:rsidP="00E2118A">
      <w:pPr>
        <w:jc w:val="left"/>
        <w:rPr>
          <w:rFonts w:ascii="Calibri" w:hAnsi="Calibri"/>
          <w:bCs/>
          <w:szCs w:val="22"/>
        </w:rPr>
      </w:pPr>
      <w:r w:rsidRPr="00E2118A">
        <w:rPr>
          <w:rFonts w:ascii="Calibri" w:hAnsi="Calibri"/>
          <w:bCs/>
          <w:szCs w:val="22"/>
        </w:rPr>
        <w:t>1.</w:t>
      </w:r>
      <w:r w:rsidRPr="00E2118A">
        <w:rPr>
          <w:rFonts w:ascii="Calibri" w:hAnsi="Calibri"/>
          <w:bCs/>
          <w:szCs w:val="22"/>
        </w:rPr>
        <w:tab/>
        <w:t>Désignation d’un secrétaire de séance</w:t>
      </w:r>
    </w:p>
    <w:p w:rsidR="00E2118A" w:rsidRPr="00E2118A" w:rsidRDefault="00E2118A" w:rsidP="00E2118A">
      <w:pPr>
        <w:jc w:val="left"/>
        <w:rPr>
          <w:rFonts w:ascii="Calibri" w:hAnsi="Calibri"/>
          <w:bCs/>
          <w:szCs w:val="22"/>
        </w:rPr>
      </w:pPr>
      <w:r w:rsidRPr="00E2118A">
        <w:rPr>
          <w:rFonts w:ascii="Calibri" w:hAnsi="Calibri"/>
          <w:bCs/>
          <w:szCs w:val="22"/>
        </w:rPr>
        <w:t>2.</w:t>
      </w:r>
      <w:r w:rsidRPr="00E2118A">
        <w:rPr>
          <w:rFonts w:ascii="Calibri" w:hAnsi="Calibri"/>
          <w:bCs/>
          <w:szCs w:val="22"/>
        </w:rPr>
        <w:tab/>
        <w:t>Approbation du procès-verbal de la réunion du Comité syndical du 2 juillet 2019</w:t>
      </w:r>
    </w:p>
    <w:p w:rsidR="00E2118A" w:rsidRPr="00E2118A" w:rsidRDefault="00E2118A" w:rsidP="00E2118A">
      <w:pPr>
        <w:jc w:val="left"/>
        <w:rPr>
          <w:rFonts w:ascii="Calibri" w:hAnsi="Calibri"/>
          <w:bCs/>
          <w:szCs w:val="22"/>
        </w:rPr>
      </w:pPr>
      <w:r w:rsidRPr="00E2118A">
        <w:rPr>
          <w:rFonts w:ascii="Calibri" w:hAnsi="Calibri"/>
          <w:bCs/>
          <w:szCs w:val="22"/>
        </w:rPr>
        <w:t>3.</w:t>
      </w:r>
      <w:r w:rsidRPr="00E2118A">
        <w:rPr>
          <w:rFonts w:ascii="Calibri" w:hAnsi="Calibri"/>
          <w:bCs/>
          <w:szCs w:val="22"/>
        </w:rPr>
        <w:tab/>
        <w:t>Rapport d’activités 2018</w:t>
      </w:r>
    </w:p>
    <w:p w:rsidR="00E2118A" w:rsidRPr="00E2118A" w:rsidRDefault="00E2118A" w:rsidP="00E2118A">
      <w:pPr>
        <w:jc w:val="left"/>
        <w:rPr>
          <w:rFonts w:ascii="Calibri" w:hAnsi="Calibri"/>
          <w:bCs/>
          <w:szCs w:val="22"/>
        </w:rPr>
      </w:pPr>
      <w:r w:rsidRPr="00E2118A">
        <w:rPr>
          <w:rFonts w:ascii="Calibri" w:hAnsi="Calibri"/>
          <w:bCs/>
          <w:szCs w:val="22"/>
        </w:rPr>
        <w:t>4.</w:t>
      </w:r>
      <w:r w:rsidRPr="00E2118A">
        <w:rPr>
          <w:rFonts w:ascii="Calibri" w:hAnsi="Calibri"/>
          <w:bCs/>
          <w:szCs w:val="22"/>
        </w:rPr>
        <w:tab/>
        <w:t>Programme pédagogique – point d’information et complément</w:t>
      </w:r>
      <w:r w:rsidRPr="00E2118A">
        <w:rPr>
          <w:rFonts w:ascii="Calibri" w:hAnsi="Calibri"/>
          <w:bCs/>
          <w:szCs w:val="22"/>
        </w:rPr>
        <w:tab/>
      </w:r>
    </w:p>
    <w:p w:rsidR="00E2118A" w:rsidRPr="00E2118A" w:rsidRDefault="00E2118A" w:rsidP="00E2118A">
      <w:pPr>
        <w:jc w:val="left"/>
        <w:rPr>
          <w:rFonts w:ascii="Calibri" w:hAnsi="Calibri"/>
          <w:bCs/>
          <w:szCs w:val="22"/>
        </w:rPr>
      </w:pPr>
      <w:r w:rsidRPr="00E2118A">
        <w:rPr>
          <w:rFonts w:ascii="Calibri" w:hAnsi="Calibri"/>
          <w:bCs/>
          <w:szCs w:val="22"/>
        </w:rPr>
        <w:t>5.</w:t>
      </w:r>
      <w:r w:rsidRPr="00E2118A">
        <w:rPr>
          <w:rFonts w:ascii="Calibri" w:hAnsi="Calibri"/>
          <w:bCs/>
          <w:szCs w:val="22"/>
        </w:rPr>
        <w:tab/>
        <w:t>Finances – Décision modificative n°4</w:t>
      </w:r>
    </w:p>
    <w:p w:rsidR="00E2118A" w:rsidRPr="00E2118A" w:rsidRDefault="00E2118A" w:rsidP="00E2118A">
      <w:pPr>
        <w:ind w:left="709" w:hanging="709"/>
        <w:jc w:val="left"/>
        <w:rPr>
          <w:rFonts w:ascii="Calibri" w:hAnsi="Calibri"/>
          <w:bCs/>
          <w:szCs w:val="22"/>
        </w:rPr>
      </w:pPr>
      <w:r w:rsidRPr="00E2118A">
        <w:rPr>
          <w:rFonts w:ascii="Calibri" w:hAnsi="Calibri"/>
          <w:bCs/>
          <w:szCs w:val="22"/>
        </w:rPr>
        <w:t>6.</w:t>
      </w:r>
      <w:r w:rsidRPr="00E2118A">
        <w:rPr>
          <w:rFonts w:ascii="Calibri" w:hAnsi="Calibri"/>
          <w:bCs/>
          <w:szCs w:val="22"/>
        </w:rPr>
        <w:tab/>
        <w:t>Intégration d’un nouveau représentant de Rennes Métropole en qualité de délégué suppléant au Comité syndica</w:t>
      </w:r>
      <w:r>
        <w:rPr>
          <w:rFonts w:ascii="Calibri" w:hAnsi="Calibri"/>
          <w:bCs/>
          <w:szCs w:val="22"/>
        </w:rPr>
        <w:t>l</w:t>
      </w:r>
    </w:p>
    <w:p w:rsidR="00E2118A" w:rsidRPr="00E2118A" w:rsidRDefault="00E2118A" w:rsidP="00E2118A">
      <w:pPr>
        <w:ind w:left="709" w:hanging="709"/>
        <w:jc w:val="left"/>
        <w:rPr>
          <w:rFonts w:ascii="Calibri" w:hAnsi="Calibri"/>
          <w:bCs/>
          <w:szCs w:val="22"/>
        </w:rPr>
      </w:pPr>
      <w:r w:rsidRPr="00E2118A">
        <w:rPr>
          <w:rFonts w:ascii="Calibri" w:hAnsi="Calibri"/>
          <w:bCs/>
          <w:szCs w:val="22"/>
        </w:rPr>
        <w:t>7.</w:t>
      </w:r>
      <w:r w:rsidRPr="00E2118A">
        <w:rPr>
          <w:rFonts w:ascii="Calibri" w:hAnsi="Calibri"/>
          <w:bCs/>
          <w:szCs w:val="22"/>
        </w:rPr>
        <w:tab/>
        <w:t>Modalités de perception de la Taxe sur la Consommation Finale d’Electricité pour les communes nouvelles 2019</w:t>
      </w:r>
    </w:p>
    <w:p w:rsidR="00E2118A" w:rsidRPr="00E2118A" w:rsidRDefault="00E2118A" w:rsidP="00E2118A">
      <w:pPr>
        <w:ind w:left="709" w:hanging="709"/>
        <w:jc w:val="left"/>
        <w:rPr>
          <w:rFonts w:ascii="Calibri" w:hAnsi="Calibri"/>
          <w:bCs/>
          <w:szCs w:val="22"/>
        </w:rPr>
      </w:pPr>
      <w:r w:rsidRPr="00E2118A">
        <w:rPr>
          <w:rFonts w:ascii="Calibri" w:hAnsi="Calibri"/>
          <w:bCs/>
          <w:szCs w:val="22"/>
        </w:rPr>
        <w:t>8.</w:t>
      </w:r>
      <w:r w:rsidRPr="00E2118A">
        <w:rPr>
          <w:rFonts w:ascii="Calibri" w:hAnsi="Calibri"/>
          <w:bCs/>
          <w:szCs w:val="22"/>
        </w:rPr>
        <w:tab/>
        <w:t>Modalités de perception de la Taxe sur la Consommation Finale d’Electricité pour les communes C depuis 2016</w:t>
      </w:r>
    </w:p>
    <w:p w:rsidR="00E2118A" w:rsidRPr="00E2118A" w:rsidRDefault="00EA6823" w:rsidP="00E2118A">
      <w:pPr>
        <w:jc w:val="left"/>
        <w:rPr>
          <w:rFonts w:ascii="Calibri" w:hAnsi="Calibri"/>
          <w:bCs/>
          <w:szCs w:val="22"/>
        </w:rPr>
      </w:pPr>
      <w:r>
        <w:rPr>
          <w:rFonts w:ascii="Calibri" w:hAnsi="Calibri"/>
          <w:bCs/>
          <w:szCs w:val="22"/>
        </w:rPr>
        <w:t>9</w:t>
      </w:r>
      <w:r w:rsidR="00E2118A" w:rsidRPr="00E2118A">
        <w:rPr>
          <w:rFonts w:ascii="Calibri" w:hAnsi="Calibri"/>
          <w:bCs/>
          <w:szCs w:val="22"/>
        </w:rPr>
        <w:t>.</w:t>
      </w:r>
      <w:r w:rsidR="00E2118A" w:rsidRPr="00E2118A">
        <w:rPr>
          <w:rFonts w:ascii="Calibri" w:hAnsi="Calibri"/>
          <w:bCs/>
          <w:szCs w:val="22"/>
        </w:rPr>
        <w:tab/>
        <w:t>Eclairage – Attribution d’une subvention exceptionnelle à la commune de Hirel</w:t>
      </w:r>
    </w:p>
    <w:p w:rsidR="00E2118A" w:rsidRPr="00E2118A" w:rsidRDefault="00E2118A" w:rsidP="00E2118A">
      <w:pPr>
        <w:jc w:val="left"/>
        <w:rPr>
          <w:rFonts w:ascii="Calibri" w:hAnsi="Calibri"/>
          <w:bCs/>
          <w:szCs w:val="22"/>
        </w:rPr>
      </w:pPr>
      <w:r w:rsidRPr="00E2118A">
        <w:rPr>
          <w:rFonts w:ascii="Calibri" w:hAnsi="Calibri"/>
          <w:bCs/>
          <w:szCs w:val="22"/>
        </w:rPr>
        <w:t>1</w:t>
      </w:r>
      <w:r w:rsidR="00EA6823">
        <w:rPr>
          <w:rFonts w:ascii="Calibri" w:hAnsi="Calibri"/>
          <w:bCs/>
          <w:szCs w:val="22"/>
        </w:rPr>
        <w:t>0</w:t>
      </w:r>
      <w:r w:rsidRPr="00E2118A">
        <w:rPr>
          <w:rFonts w:ascii="Calibri" w:hAnsi="Calibri"/>
          <w:bCs/>
          <w:szCs w:val="22"/>
        </w:rPr>
        <w:t>.</w:t>
      </w:r>
      <w:r w:rsidRPr="00E2118A">
        <w:rPr>
          <w:rFonts w:ascii="Calibri" w:hAnsi="Calibri"/>
          <w:bCs/>
          <w:szCs w:val="22"/>
        </w:rPr>
        <w:tab/>
        <w:t xml:space="preserve">Eclairage – Transfert de la compétence des communes de </w:t>
      </w:r>
      <w:proofErr w:type="spellStart"/>
      <w:r w:rsidRPr="00E2118A">
        <w:rPr>
          <w:rFonts w:ascii="Calibri" w:hAnsi="Calibri"/>
          <w:bCs/>
          <w:szCs w:val="22"/>
        </w:rPr>
        <w:t>Louvigné</w:t>
      </w:r>
      <w:proofErr w:type="spellEnd"/>
      <w:r w:rsidRPr="00E2118A">
        <w:rPr>
          <w:rFonts w:ascii="Calibri" w:hAnsi="Calibri"/>
          <w:bCs/>
          <w:szCs w:val="22"/>
        </w:rPr>
        <w:t>-de-Bais et Mesnil Roch</w:t>
      </w:r>
    </w:p>
    <w:p w:rsidR="00E2118A" w:rsidRDefault="00E2118A" w:rsidP="00E2118A">
      <w:pPr>
        <w:jc w:val="left"/>
        <w:rPr>
          <w:rFonts w:ascii="Calibri" w:hAnsi="Calibri"/>
          <w:bCs/>
          <w:szCs w:val="22"/>
        </w:rPr>
      </w:pPr>
      <w:r w:rsidRPr="00E2118A">
        <w:rPr>
          <w:rFonts w:ascii="Calibri" w:hAnsi="Calibri"/>
          <w:bCs/>
          <w:szCs w:val="22"/>
        </w:rPr>
        <w:t>1</w:t>
      </w:r>
      <w:r w:rsidR="00EA6823">
        <w:rPr>
          <w:rFonts w:ascii="Calibri" w:hAnsi="Calibri"/>
          <w:bCs/>
          <w:szCs w:val="22"/>
        </w:rPr>
        <w:t>1</w:t>
      </w:r>
      <w:r w:rsidRPr="00E2118A">
        <w:rPr>
          <w:rFonts w:ascii="Calibri" w:hAnsi="Calibri"/>
          <w:bCs/>
          <w:szCs w:val="22"/>
        </w:rPr>
        <w:t>.</w:t>
      </w:r>
      <w:r w:rsidRPr="00E2118A">
        <w:rPr>
          <w:rFonts w:ascii="Calibri" w:hAnsi="Calibri"/>
          <w:bCs/>
          <w:szCs w:val="22"/>
        </w:rPr>
        <w:tab/>
        <w:t>Critère de notation et attribution du marché de fourniture de Gaz</w:t>
      </w:r>
    </w:p>
    <w:p w:rsidR="00EA6823" w:rsidRPr="00E2118A" w:rsidRDefault="00EA6823" w:rsidP="00EA6823">
      <w:pPr>
        <w:ind w:left="709" w:hanging="709"/>
        <w:jc w:val="left"/>
        <w:rPr>
          <w:rFonts w:ascii="Calibri" w:hAnsi="Calibri"/>
          <w:bCs/>
          <w:szCs w:val="22"/>
        </w:rPr>
      </w:pPr>
      <w:r>
        <w:rPr>
          <w:rFonts w:ascii="Calibri" w:hAnsi="Calibri"/>
          <w:bCs/>
          <w:szCs w:val="22"/>
        </w:rPr>
        <w:t>12</w:t>
      </w:r>
      <w:r w:rsidRPr="00E2118A">
        <w:rPr>
          <w:rFonts w:ascii="Calibri" w:hAnsi="Calibri"/>
          <w:bCs/>
          <w:szCs w:val="22"/>
        </w:rPr>
        <w:t>.</w:t>
      </w:r>
      <w:r w:rsidRPr="00E2118A">
        <w:rPr>
          <w:rFonts w:ascii="Calibri" w:hAnsi="Calibri"/>
          <w:bCs/>
          <w:szCs w:val="22"/>
        </w:rPr>
        <w:tab/>
        <w:t>Concession –Négociation du nouveau contrat de concession - approbation du diagnostic technique partagé</w:t>
      </w:r>
      <w:r w:rsidRPr="00E2118A">
        <w:rPr>
          <w:rFonts w:ascii="Calibri" w:hAnsi="Calibri"/>
          <w:bCs/>
          <w:szCs w:val="22"/>
        </w:rPr>
        <w:tab/>
      </w:r>
    </w:p>
    <w:p w:rsidR="00E2118A" w:rsidRPr="00E2118A" w:rsidRDefault="00E2118A" w:rsidP="00E2118A">
      <w:pPr>
        <w:jc w:val="left"/>
        <w:rPr>
          <w:rFonts w:ascii="Calibri" w:hAnsi="Calibri"/>
          <w:bCs/>
          <w:szCs w:val="22"/>
        </w:rPr>
      </w:pPr>
      <w:r w:rsidRPr="00E2118A">
        <w:rPr>
          <w:rFonts w:ascii="Calibri" w:hAnsi="Calibri"/>
          <w:bCs/>
          <w:szCs w:val="22"/>
        </w:rPr>
        <w:t>13.</w:t>
      </w:r>
      <w:r w:rsidRPr="00E2118A">
        <w:rPr>
          <w:rFonts w:ascii="Calibri" w:hAnsi="Calibri"/>
          <w:bCs/>
          <w:szCs w:val="22"/>
        </w:rPr>
        <w:tab/>
        <w:t>Information des attributions exercées par le bureau par délégation du comité</w:t>
      </w:r>
    </w:p>
    <w:p w:rsidR="00E2118A" w:rsidRPr="00E2118A" w:rsidRDefault="00E2118A" w:rsidP="00E2118A">
      <w:pPr>
        <w:jc w:val="left"/>
        <w:rPr>
          <w:rFonts w:ascii="Calibri" w:hAnsi="Calibri"/>
          <w:bCs/>
          <w:szCs w:val="22"/>
        </w:rPr>
      </w:pPr>
      <w:r w:rsidRPr="00E2118A">
        <w:rPr>
          <w:rFonts w:ascii="Calibri" w:hAnsi="Calibri"/>
          <w:bCs/>
          <w:szCs w:val="22"/>
        </w:rPr>
        <w:t>14.</w:t>
      </w:r>
      <w:r w:rsidRPr="00E2118A">
        <w:rPr>
          <w:rFonts w:ascii="Calibri" w:hAnsi="Calibri"/>
          <w:bCs/>
          <w:szCs w:val="22"/>
        </w:rPr>
        <w:tab/>
        <w:t>Information des attributions exercées par le président par délégation du comité</w:t>
      </w:r>
    </w:p>
    <w:p w:rsidR="00E2118A" w:rsidRPr="00E2118A" w:rsidRDefault="00E2118A" w:rsidP="00E2118A">
      <w:pPr>
        <w:jc w:val="left"/>
        <w:rPr>
          <w:rFonts w:ascii="Calibri" w:hAnsi="Calibri"/>
          <w:bCs/>
          <w:szCs w:val="22"/>
        </w:rPr>
      </w:pPr>
      <w:r w:rsidRPr="00E2118A">
        <w:rPr>
          <w:rFonts w:ascii="Calibri" w:hAnsi="Calibri"/>
          <w:bCs/>
          <w:szCs w:val="22"/>
        </w:rPr>
        <w:t>15.</w:t>
      </w:r>
      <w:r w:rsidRPr="00E2118A">
        <w:rPr>
          <w:rFonts w:ascii="Calibri" w:hAnsi="Calibri"/>
          <w:bCs/>
          <w:szCs w:val="22"/>
        </w:rPr>
        <w:tab/>
        <w:t>Questions diverses</w:t>
      </w:r>
    </w:p>
    <w:p w:rsidR="00E2118A" w:rsidRPr="00BA1C91" w:rsidRDefault="00E2118A" w:rsidP="00E2118A"/>
    <w:p w:rsidR="00DF7E34" w:rsidRPr="00C84503" w:rsidRDefault="00DF7E34" w:rsidP="00B8382B">
      <w:pPr>
        <w:pStyle w:val="Paragraphedeliste"/>
        <w:numPr>
          <w:ilvl w:val="0"/>
          <w:numId w:val="10"/>
        </w:numPr>
        <w:pBdr>
          <w:top w:val="single" w:sz="4" w:space="0"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4"/>
        </w:rPr>
      </w:pPr>
      <w:r>
        <w:rPr>
          <w:rFonts w:ascii="Venacti Sb" w:hAnsi="Venacti Sb"/>
          <w:color w:val="FFFFFF"/>
          <w:sz w:val="24"/>
        </w:rPr>
        <w:t>Désignation d’un secrétaire de séance</w:t>
      </w:r>
    </w:p>
    <w:p w:rsidR="00DF7E34" w:rsidRPr="007F01C2" w:rsidRDefault="00DF7E34" w:rsidP="00072F29">
      <w:pPr>
        <w:rPr>
          <w:szCs w:val="22"/>
        </w:rPr>
      </w:pPr>
    </w:p>
    <w:p w:rsidR="006E1D5C" w:rsidRDefault="00DF7E34" w:rsidP="00072F29">
      <w:pPr>
        <w:rPr>
          <w:rFonts w:ascii="Calibri" w:hAnsi="Calibri"/>
          <w:szCs w:val="22"/>
        </w:rPr>
      </w:pPr>
      <w:r>
        <w:rPr>
          <w:rFonts w:ascii="Calibri" w:hAnsi="Calibri"/>
          <w:szCs w:val="22"/>
        </w:rPr>
        <w:t xml:space="preserve">Le président propose au comité de désigner </w:t>
      </w:r>
      <w:r w:rsidR="001D2B9D">
        <w:rPr>
          <w:rFonts w:ascii="Calibri" w:hAnsi="Calibri"/>
          <w:szCs w:val="22"/>
        </w:rPr>
        <w:t>Monsieur</w:t>
      </w:r>
      <w:r>
        <w:rPr>
          <w:rFonts w:ascii="Calibri" w:hAnsi="Calibri"/>
          <w:szCs w:val="22"/>
        </w:rPr>
        <w:t xml:space="preserve"> Jean-Claude BELINE en qualité de secrétaire de séance.</w:t>
      </w:r>
    </w:p>
    <w:p w:rsidR="00DF7E34" w:rsidRDefault="00DF7E34" w:rsidP="00072F29">
      <w:pPr>
        <w:rPr>
          <w:rFonts w:ascii="Calibri" w:hAnsi="Calibri"/>
          <w:szCs w:val="22"/>
        </w:rPr>
      </w:pPr>
      <w:r>
        <w:rPr>
          <w:rFonts w:ascii="Calibri" w:hAnsi="Calibri"/>
          <w:szCs w:val="22"/>
        </w:rPr>
        <w:t>Le comité, à l’unanimité, approuve cette proposition.</w:t>
      </w:r>
    </w:p>
    <w:p w:rsidR="00DB6658" w:rsidRDefault="00DB6658" w:rsidP="00DF7E34">
      <w:pPr>
        <w:rPr>
          <w:rFonts w:ascii="Calibri" w:hAnsi="Calibri"/>
          <w:szCs w:val="22"/>
        </w:rPr>
      </w:pPr>
    </w:p>
    <w:p w:rsidR="00413F1B" w:rsidRPr="00C84503" w:rsidRDefault="00A00832"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color w:val="FFFFFF"/>
          <w:sz w:val="26"/>
          <w:szCs w:val="26"/>
          <w:lang w:eastAsia="en-US"/>
        </w:rPr>
      </w:pPr>
      <w:r w:rsidRPr="00C84503">
        <w:rPr>
          <w:rFonts w:ascii="Venacti Sb" w:hAnsi="Venacti Sb"/>
          <w:bCs/>
          <w:color w:val="FFFFFF"/>
          <w:sz w:val="26"/>
          <w:szCs w:val="26"/>
          <w:lang w:eastAsia="en-US"/>
        </w:rPr>
        <w:t xml:space="preserve">Approbation du </w:t>
      </w:r>
      <w:r w:rsidR="009F5DA7">
        <w:rPr>
          <w:rFonts w:ascii="Venacti Sb" w:hAnsi="Venacti Sb"/>
          <w:bCs/>
          <w:color w:val="FFFFFF"/>
          <w:sz w:val="26"/>
          <w:szCs w:val="26"/>
          <w:lang w:eastAsia="en-US"/>
        </w:rPr>
        <w:t>procès-verbal de la réunion du c</w:t>
      </w:r>
      <w:r w:rsidRPr="00C84503">
        <w:rPr>
          <w:rFonts w:ascii="Venacti Sb" w:hAnsi="Venacti Sb"/>
          <w:bCs/>
          <w:color w:val="FFFFFF"/>
          <w:sz w:val="26"/>
          <w:szCs w:val="26"/>
          <w:lang w:eastAsia="en-US"/>
        </w:rPr>
        <w:t>omité syndical du</w:t>
      </w:r>
      <w:r w:rsidR="00264929">
        <w:rPr>
          <w:rFonts w:ascii="Venacti Sb" w:hAnsi="Venacti Sb"/>
          <w:bCs/>
          <w:color w:val="FFFFFF"/>
          <w:sz w:val="26"/>
          <w:szCs w:val="26"/>
          <w:lang w:eastAsia="en-US"/>
        </w:rPr>
        <w:t xml:space="preserve"> </w:t>
      </w:r>
      <w:r w:rsidR="00DC3282">
        <w:rPr>
          <w:rFonts w:ascii="Venacti Sb" w:hAnsi="Venacti Sb"/>
          <w:bCs/>
          <w:color w:val="FFFFFF"/>
          <w:sz w:val="26"/>
          <w:szCs w:val="26"/>
          <w:lang w:eastAsia="en-US"/>
        </w:rPr>
        <w:t>2 juillet</w:t>
      </w:r>
      <w:r w:rsidR="008C6AF8">
        <w:rPr>
          <w:rFonts w:ascii="Venacti Sb" w:hAnsi="Venacti Sb"/>
          <w:bCs/>
          <w:color w:val="FFFFFF"/>
          <w:sz w:val="26"/>
          <w:szCs w:val="26"/>
          <w:lang w:eastAsia="en-US"/>
        </w:rPr>
        <w:t xml:space="preserve"> 201</w:t>
      </w:r>
      <w:r w:rsidR="009144ED">
        <w:rPr>
          <w:rFonts w:ascii="Venacti Sb" w:hAnsi="Venacti Sb"/>
          <w:bCs/>
          <w:color w:val="FFFFFF"/>
          <w:sz w:val="26"/>
          <w:szCs w:val="26"/>
          <w:lang w:eastAsia="en-US"/>
        </w:rPr>
        <w:t>9</w:t>
      </w:r>
    </w:p>
    <w:p w:rsidR="00413F1B" w:rsidRPr="007F01C2" w:rsidRDefault="00413F1B" w:rsidP="00413F1B">
      <w:pPr>
        <w:rPr>
          <w:rFonts w:ascii="Calibri" w:hAnsi="Calibri"/>
          <w:szCs w:val="22"/>
        </w:rPr>
      </w:pP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w:t>
      </w:r>
      <w:r w:rsidRPr="00EA6823">
        <w:rPr>
          <w:rFonts w:ascii="Calibri" w:hAnsi="Calibri"/>
          <w:szCs w:val="22"/>
        </w:rPr>
        <w:tab/>
        <w:t>Désignation d’un secrétaire de séance</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2.</w:t>
      </w:r>
      <w:r w:rsidRPr="00EA6823">
        <w:rPr>
          <w:rFonts w:ascii="Calibri" w:hAnsi="Calibri"/>
          <w:szCs w:val="22"/>
        </w:rPr>
        <w:tab/>
        <w:t>Approbation du procès-verbal de la réunion du Comité syndical du 21 mai 2019</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3.</w:t>
      </w:r>
      <w:r w:rsidRPr="00EA6823">
        <w:rPr>
          <w:rFonts w:ascii="Calibri" w:hAnsi="Calibri"/>
          <w:szCs w:val="22"/>
        </w:rPr>
        <w:tab/>
        <w:t>Finances – Décision modificative n°3</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4.</w:t>
      </w:r>
      <w:r w:rsidRPr="00EA6823">
        <w:rPr>
          <w:rFonts w:ascii="Calibri" w:hAnsi="Calibri"/>
          <w:szCs w:val="22"/>
        </w:rPr>
        <w:tab/>
        <w:t>Finances – Attribution d’une subvention exceptionnelle à la commune de Bais</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5.</w:t>
      </w:r>
      <w:r w:rsidRPr="00EA6823">
        <w:rPr>
          <w:rFonts w:ascii="Calibri" w:hAnsi="Calibri"/>
          <w:szCs w:val="22"/>
        </w:rPr>
        <w:tab/>
        <w:t>Finances – Durées d’amortissement</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6.</w:t>
      </w:r>
      <w:r w:rsidRPr="00EA6823">
        <w:rPr>
          <w:rFonts w:ascii="Calibri" w:hAnsi="Calibri"/>
          <w:szCs w:val="22"/>
        </w:rPr>
        <w:tab/>
        <w:t>Coopération décentralisée – Demandes de subventions</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7.</w:t>
      </w:r>
      <w:r w:rsidRPr="00EA6823">
        <w:rPr>
          <w:rFonts w:ascii="Calibri" w:hAnsi="Calibri"/>
          <w:szCs w:val="22"/>
        </w:rPr>
        <w:tab/>
        <w:t>Demande d’actualisation des statuts du SDE35 suite à création de communes nouvelles</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8.</w:t>
      </w:r>
      <w:r w:rsidRPr="00EA6823">
        <w:rPr>
          <w:rFonts w:ascii="Calibri" w:hAnsi="Calibri"/>
          <w:szCs w:val="22"/>
        </w:rPr>
        <w:tab/>
        <w:t>Intégration d’un nouveau représentant de Rennes Métropole en qualité de délégué suppléant au Comité syndical</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9.</w:t>
      </w:r>
      <w:r w:rsidRPr="00EA6823">
        <w:rPr>
          <w:rFonts w:ascii="Calibri" w:hAnsi="Calibri"/>
          <w:szCs w:val="22"/>
        </w:rPr>
        <w:tab/>
        <w:t>Gestion financière – Adhésion à l’association CUSMA</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10.</w:t>
      </w:r>
      <w:r w:rsidRPr="00EA6823">
        <w:rPr>
          <w:rFonts w:ascii="Calibri" w:hAnsi="Calibri"/>
          <w:szCs w:val="22"/>
        </w:rPr>
        <w:tab/>
        <w:t>Commande Publique : Achat d’un logiciel de modélisation des réseaux</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11.</w:t>
      </w:r>
      <w:r w:rsidRPr="00EA6823">
        <w:rPr>
          <w:rFonts w:ascii="Calibri" w:hAnsi="Calibri"/>
          <w:szCs w:val="22"/>
        </w:rPr>
        <w:tab/>
        <w:t>Ressources humaines – Création d’un poste à Temps non complet</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12.</w:t>
      </w:r>
      <w:r w:rsidRPr="00EA6823">
        <w:rPr>
          <w:rFonts w:ascii="Calibri" w:hAnsi="Calibri"/>
          <w:szCs w:val="22"/>
        </w:rPr>
        <w:tab/>
        <w:t>Information des attributions exercées par le bureau par délégation du comité</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13.</w:t>
      </w:r>
      <w:r w:rsidRPr="00EA6823">
        <w:rPr>
          <w:rFonts w:ascii="Calibri" w:hAnsi="Calibri"/>
          <w:szCs w:val="22"/>
        </w:rPr>
        <w:tab/>
        <w:t>Information des attributions exercées par le président par délégation du comité</w:t>
      </w:r>
    </w:p>
    <w:p w:rsidR="00EA6823" w:rsidRPr="00EA6823" w:rsidRDefault="00EA6823" w:rsidP="00EA6823">
      <w:pPr>
        <w:pStyle w:val="Sansinterligne"/>
        <w:ind w:left="709" w:hanging="709"/>
        <w:rPr>
          <w:rFonts w:ascii="Calibri" w:hAnsi="Calibri"/>
          <w:szCs w:val="22"/>
        </w:rPr>
      </w:pPr>
      <w:r w:rsidRPr="00EA6823">
        <w:rPr>
          <w:rFonts w:ascii="Calibri" w:hAnsi="Calibri"/>
          <w:szCs w:val="22"/>
        </w:rPr>
        <w:t>14.</w:t>
      </w:r>
      <w:r w:rsidRPr="00EA6823">
        <w:rPr>
          <w:rFonts w:ascii="Calibri" w:hAnsi="Calibri"/>
          <w:szCs w:val="22"/>
        </w:rPr>
        <w:tab/>
        <w:t>Questions diverses</w:t>
      </w:r>
    </w:p>
    <w:p w:rsidR="00EA6823" w:rsidRPr="00EA6823" w:rsidRDefault="00EA6823" w:rsidP="00EA6823">
      <w:pPr>
        <w:pStyle w:val="Sansinterligne"/>
        <w:ind w:left="709" w:hanging="709"/>
        <w:rPr>
          <w:rFonts w:ascii="Calibri" w:hAnsi="Calibri"/>
          <w:szCs w:val="22"/>
        </w:rPr>
      </w:pPr>
    </w:p>
    <w:p w:rsidR="009144ED" w:rsidRDefault="009144ED" w:rsidP="009144ED">
      <w:pPr>
        <w:pStyle w:val="Sansinterligne"/>
        <w:ind w:left="709" w:hanging="709"/>
      </w:pPr>
    </w:p>
    <w:p w:rsidR="00BA304E" w:rsidRPr="00BA304E" w:rsidRDefault="00EA6823"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Pr>
          <w:rFonts w:ascii="Venacti Sb" w:hAnsi="Venacti Sb"/>
          <w:bCs/>
          <w:color w:val="FFFFFF"/>
          <w:sz w:val="26"/>
          <w:szCs w:val="26"/>
          <w:lang w:eastAsia="en-US"/>
        </w:rPr>
        <w:t>Rapport d’activités 2018</w:t>
      </w:r>
    </w:p>
    <w:p w:rsidR="009144ED" w:rsidRDefault="009144ED" w:rsidP="00072F29">
      <w:pPr>
        <w:pStyle w:val="Sansinterligne"/>
        <w:ind w:left="709" w:hanging="709"/>
      </w:pPr>
    </w:p>
    <w:p w:rsidR="00072F29" w:rsidRDefault="00072F29" w:rsidP="00072F29">
      <w:r>
        <w:t>Conformément aux dispositions des articles L.5211-39 et 40 du Code Général des Collectivités Territoriales, le Comité Syndical du Syndicat Départemental d’Energie 35 doit approuver le rapport d’activités de l’année 2018.</w:t>
      </w:r>
    </w:p>
    <w:p w:rsidR="00072F29" w:rsidRDefault="00072F29" w:rsidP="00072F29"/>
    <w:p w:rsidR="00072F29" w:rsidRDefault="00072F29" w:rsidP="00072F29">
      <w:r>
        <w:t xml:space="preserve">Cette année, la maquette du rapport a été retravaillée afin d’en améliorer sa compréhension. L’activité du syndicat y est présentée par grande mission stratégique. </w:t>
      </w:r>
    </w:p>
    <w:p w:rsidR="00072F29" w:rsidRDefault="00072F29" w:rsidP="00072F29"/>
    <w:p w:rsidR="00072F29" w:rsidRDefault="00072F29" w:rsidP="00072F29">
      <w:r>
        <w:t xml:space="preserve">Autre nouveauté, le rapport est accompagné d’une synthèse en 4 pages, reprenant les événements marquants et les chiffres clefs. </w:t>
      </w:r>
    </w:p>
    <w:p w:rsidR="00072F29" w:rsidRDefault="00072F29" w:rsidP="00072F29"/>
    <w:p w:rsidR="00072F29" w:rsidRDefault="00072F29" w:rsidP="00072F29">
      <w:r>
        <w:t>Le rapport d’activités 2018 et sa version « 4 pages » sont envoyés par mail aux membres du comité dans leur version numérique. La version définitive sera imprimée après le vote du Comité.</w:t>
      </w:r>
    </w:p>
    <w:p w:rsidR="00565A47" w:rsidRPr="00652E80" w:rsidRDefault="00565A47" w:rsidP="00072F29"/>
    <w:p w:rsidR="00565A47" w:rsidRPr="00652E80" w:rsidRDefault="00565A47" w:rsidP="00072F29">
      <w:r w:rsidRPr="00652E80">
        <w:t xml:space="preserve">Durant les échanges, les élus du syndicat souhaiteraient disposer dans les prochains rapports d’activité des éléments suivants : </w:t>
      </w:r>
    </w:p>
    <w:p w:rsidR="00565A47" w:rsidRPr="00652E80" w:rsidRDefault="00565A47" w:rsidP="00565A47">
      <w:pPr>
        <w:pStyle w:val="Paragraphedeliste"/>
        <w:numPr>
          <w:ilvl w:val="0"/>
          <w:numId w:val="30"/>
        </w:numPr>
      </w:pPr>
      <w:r w:rsidRPr="00652E80">
        <w:t xml:space="preserve">La somme de puissance des luminaires déposés dans l’année, </w:t>
      </w:r>
    </w:p>
    <w:p w:rsidR="00565A47" w:rsidRPr="00652E80" w:rsidRDefault="00565A47" w:rsidP="00565A47">
      <w:pPr>
        <w:pStyle w:val="Paragraphedeliste"/>
        <w:numPr>
          <w:ilvl w:val="0"/>
          <w:numId w:val="30"/>
        </w:numPr>
      </w:pPr>
      <w:r w:rsidRPr="00652E80">
        <w:t>Les économies d’énergies réelles en kWh permises par les travaux de rénovation d’éclairage</w:t>
      </w:r>
    </w:p>
    <w:p w:rsidR="00072F29" w:rsidRDefault="00072F29" w:rsidP="00072F29">
      <w:pPr>
        <w:rPr>
          <w:rFonts w:ascii="Calibri" w:hAnsi="Calibri"/>
          <w:color w:val="454546" w:themeColor="text2" w:themeShade="80"/>
          <w:szCs w:val="22"/>
        </w:rPr>
      </w:pPr>
    </w:p>
    <w:p w:rsidR="00072F29" w:rsidRDefault="00072F29" w:rsidP="00072F29">
      <w:pPr>
        <w:rPr>
          <w:rFonts w:ascii="Calibri" w:hAnsi="Calibri"/>
          <w:color w:val="454546" w:themeColor="text2" w:themeShade="80"/>
          <w:szCs w:val="22"/>
        </w:rPr>
      </w:pPr>
      <w:r>
        <w:t xml:space="preserve">Le Comité Syndical, à l’unanimité, </w:t>
      </w:r>
      <w:r w:rsidRPr="00072F29">
        <w:t>prend acte du</w:t>
      </w:r>
      <w:r>
        <w:t xml:space="preserve"> rapport d’activités 2018, présenté en séance et qui sera adressé pour prése</w:t>
      </w:r>
      <w:r w:rsidR="00C01B3F">
        <w:t>ntation au conseil municipal de chaque commune</w:t>
      </w:r>
      <w:r>
        <w:t xml:space="preserve"> du département.</w:t>
      </w:r>
    </w:p>
    <w:p w:rsidR="00072F29" w:rsidRDefault="00072F29" w:rsidP="00072F29">
      <w:pPr>
        <w:rPr>
          <w:rFonts w:ascii="Calibri" w:hAnsi="Calibri"/>
          <w:color w:val="454546" w:themeColor="text2" w:themeShade="80"/>
          <w:szCs w:val="22"/>
        </w:rPr>
      </w:pPr>
    </w:p>
    <w:p w:rsidR="00BA304E" w:rsidRDefault="00BA304E" w:rsidP="009144ED">
      <w:pPr>
        <w:pStyle w:val="Sansinterligne"/>
        <w:ind w:left="709" w:hanging="709"/>
      </w:pPr>
    </w:p>
    <w:p w:rsidR="009144ED" w:rsidRPr="0098180E" w:rsidRDefault="00072F29"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072F29">
        <w:rPr>
          <w:rFonts w:ascii="Venacti Sb" w:hAnsi="Venacti Sb"/>
          <w:bCs/>
          <w:color w:val="FFFFFF"/>
          <w:sz w:val="26"/>
          <w:szCs w:val="26"/>
          <w:lang w:eastAsia="en-US"/>
        </w:rPr>
        <w:t>Programme pédagogique – point d’information et complément</w:t>
      </w:r>
    </w:p>
    <w:p w:rsidR="009144ED" w:rsidRDefault="009144ED" w:rsidP="00DB07AD">
      <w:pPr>
        <w:pStyle w:val="Sansinterligne"/>
        <w:ind w:left="709" w:hanging="709"/>
        <w:rPr>
          <w:rFonts w:ascii="Calibri" w:hAnsi="Calibri"/>
          <w:szCs w:val="22"/>
        </w:rPr>
      </w:pPr>
    </w:p>
    <w:p w:rsidR="00DB07AD" w:rsidRDefault="00DB07AD" w:rsidP="00DB07AD">
      <w:r>
        <w:t xml:space="preserve">Le 21 mai 2019, le Comité Syndical a approuvé la mise en place d’un programme pédagogique sur les enjeux de l’énergie à destination des scolaires. </w:t>
      </w:r>
    </w:p>
    <w:p w:rsidR="00DB07AD" w:rsidRDefault="00DB07AD" w:rsidP="00DB07AD"/>
    <w:p w:rsidR="00DB07AD" w:rsidRDefault="00DB07AD" w:rsidP="00DB07AD">
      <w:r>
        <w:lastRenderedPageBreak/>
        <w:t xml:space="preserve">Au cours de l’été, une consultation a eu lieu à laquelle ont répondu une dizaine d’associations locales spécialistes des interventions scolaires. En parallèle, des échanges ont eu lieu avec l’Académie de Rennes qui a accepté d’être partenaire de ce projet. Le marché a été notifié le 5 septembre 2019 et 9 candidats ont été retenus, dont 3 candidatures groupées. </w:t>
      </w:r>
    </w:p>
    <w:p w:rsidR="00DB07AD" w:rsidRDefault="00DB07AD" w:rsidP="00DB07AD"/>
    <w:p w:rsidR="00DB07AD" w:rsidRDefault="00DB07AD" w:rsidP="00DB07AD">
      <w:r>
        <w:t xml:space="preserve">Les communes du département seront prochainement destinataires d’un courrier afin de les informer de ce programme pédagogique et les inciter à diffuser l’information auprès de leurs établissements scolaires et leurs centres de loisirs et services périscolaires. Les animations scolaires débuteront fin octobre et seront réalisées pour la première année, jusqu’en juin 2020. </w:t>
      </w:r>
    </w:p>
    <w:p w:rsidR="00DB07AD" w:rsidRDefault="00DB07AD" w:rsidP="00DB07AD"/>
    <w:p w:rsidR="00DB07AD" w:rsidRDefault="00DB07AD" w:rsidP="00DB07AD">
      <w:r>
        <w:t xml:space="preserve">Le SDE35 a également été contacté durant l’été par la société Eco CO2, partenaire d’EDF, qui réalise également des animations scolaires sur les enjeux de l’énergie dans les écoles. </w:t>
      </w:r>
    </w:p>
    <w:p w:rsidR="00DB07AD" w:rsidRDefault="00DB07AD" w:rsidP="00DB07AD">
      <w:r>
        <w:t>Eco CO2 a été labellisée par le Ministère de l’écologie, du développement durable et de l’énergie et son programme « </w:t>
      </w:r>
      <w:proofErr w:type="spellStart"/>
      <w:r>
        <w:t>Watty</w:t>
      </w:r>
      <w:proofErr w:type="spellEnd"/>
      <w:r>
        <w:t xml:space="preserve"> à l’école » est éligible aux Certificats d’Economies d’Energie (CEE). </w:t>
      </w:r>
    </w:p>
    <w:p w:rsidR="00DB07AD" w:rsidRDefault="00DB07AD" w:rsidP="00DB07AD">
      <w:r>
        <w:t xml:space="preserve">Grâce à cette labellisation, le programme est financé à 70 % par les énergéticiens (EDF). </w:t>
      </w:r>
    </w:p>
    <w:p w:rsidR="00DB07AD" w:rsidRDefault="00DB07AD" w:rsidP="00DB07AD">
      <w:r>
        <w:t>Le dispositif « </w:t>
      </w:r>
      <w:proofErr w:type="spellStart"/>
      <w:r>
        <w:t>Watty</w:t>
      </w:r>
      <w:proofErr w:type="spellEnd"/>
      <w:r>
        <w:t xml:space="preserve"> à l’école » est complémentaire du futur programme du SDE35 car il s’adresse à un public plus jeune, du niveau grande section de maternelle au CE2.</w:t>
      </w:r>
    </w:p>
    <w:p w:rsidR="00DB07AD" w:rsidRDefault="00DB07AD" w:rsidP="00DB07AD"/>
    <w:p w:rsidR="00DB07AD" w:rsidRDefault="00DB07AD" w:rsidP="00DB07AD">
      <w:r>
        <w:t>Dans ce contexte, il est proposé au comité d’accepter d’intégrer le dispositif « </w:t>
      </w:r>
      <w:proofErr w:type="spellStart"/>
      <w:r>
        <w:t>Watty</w:t>
      </w:r>
      <w:proofErr w:type="spellEnd"/>
      <w:r>
        <w:t xml:space="preserve"> à l’école » dans le programme pédagogique du SDE35, en y affectant une enveloppe annuelle de 6 500 euros, prise sur le budget total annuel de 65 000 eur</w:t>
      </w:r>
      <w:r w:rsidR="00FB3B53">
        <w:t>os du programme pédagogique. La</w:t>
      </w:r>
      <w:r>
        <w:t xml:space="preserve"> participation financière du SDE35 sera abondée à hauteur de 15 000 euros maximum par EDF, ce qui permettrait d’intervenir dans 14 classes supplémentaires par an. </w:t>
      </w:r>
    </w:p>
    <w:p w:rsidR="00565A47" w:rsidRPr="00652E80" w:rsidRDefault="00565A47" w:rsidP="00565A47"/>
    <w:p w:rsidR="00565A47" w:rsidRPr="00652E80" w:rsidRDefault="00565A47" w:rsidP="00565A47">
      <w:r w:rsidRPr="00652E80">
        <w:t xml:space="preserve">Durant les échanges avec les membres du comité, il est précisé </w:t>
      </w:r>
    </w:p>
    <w:p w:rsidR="00565A47" w:rsidRPr="00652E80" w:rsidRDefault="00565A47" w:rsidP="00565A47">
      <w:pPr>
        <w:pStyle w:val="Paragraphedeliste"/>
        <w:numPr>
          <w:ilvl w:val="0"/>
          <w:numId w:val="31"/>
        </w:numPr>
      </w:pPr>
      <w:r w:rsidRPr="00652E80">
        <w:t>que le SDE35 veillera à ce que les animations soient dispensées avec un souci d’indépendance et d’absence d’incitation commerciale de la part des partenaires,</w:t>
      </w:r>
    </w:p>
    <w:p w:rsidR="00565A47" w:rsidRPr="00652E80" w:rsidRDefault="00565A47" w:rsidP="00565A47">
      <w:pPr>
        <w:pStyle w:val="Paragraphedeliste"/>
        <w:numPr>
          <w:ilvl w:val="0"/>
          <w:numId w:val="31"/>
        </w:numPr>
      </w:pPr>
      <w:r w:rsidRPr="00652E80">
        <w:t>Que le déroulé des animations avec les centres de loisirs pourra être adapté en fonction des attentes de chacun,</w:t>
      </w:r>
    </w:p>
    <w:p w:rsidR="00565A47" w:rsidRPr="00652E80" w:rsidRDefault="00565A47" w:rsidP="00565A47">
      <w:pPr>
        <w:pStyle w:val="Paragraphedeliste"/>
        <w:numPr>
          <w:ilvl w:val="0"/>
          <w:numId w:val="31"/>
        </w:numPr>
      </w:pPr>
      <w:r w:rsidRPr="00652E80">
        <w:t>Que le programme s’adresse autant aux écoles publiques que privées.</w:t>
      </w:r>
    </w:p>
    <w:p w:rsidR="00DB07AD" w:rsidRDefault="00DB07AD" w:rsidP="00DB07AD"/>
    <w:p w:rsidR="00DB07AD" w:rsidRDefault="00DB07AD" w:rsidP="00DB07AD">
      <w:r>
        <w:t xml:space="preserve">Après délibération, à l’unanimité, le Comité décide d’approuver </w:t>
      </w:r>
      <w:r w:rsidR="00FB3B53">
        <w:t>la</w:t>
      </w:r>
      <w:r>
        <w:t xml:space="preserve"> modification </w:t>
      </w:r>
      <w:r w:rsidR="00FB3B53">
        <w:t xml:space="preserve">proposée </w:t>
      </w:r>
      <w:r>
        <w:t xml:space="preserve">au programme pédagogique et à autoriser le Président à signer la convention associée avec </w:t>
      </w:r>
      <w:r w:rsidR="00FB3B53">
        <w:t xml:space="preserve">la société </w:t>
      </w:r>
      <w:r>
        <w:t>Eco CO2.</w:t>
      </w:r>
    </w:p>
    <w:p w:rsidR="001F3B99" w:rsidRDefault="001F3B99" w:rsidP="00DB07AD"/>
    <w:p w:rsidR="00FB3B53" w:rsidRPr="0098180E" w:rsidRDefault="00FB3B53"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Pr>
          <w:rFonts w:ascii="Venacti Sb" w:hAnsi="Venacti Sb"/>
          <w:bCs/>
          <w:color w:val="FFFFFF"/>
          <w:sz w:val="26"/>
          <w:szCs w:val="26"/>
          <w:lang w:eastAsia="en-US"/>
        </w:rPr>
        <w:t>Finan</w:t>
      </w:r>
      <w:r w:rsidR="003E3421">
        <w:rPr>
          <w:rFonts w:ascii="Venacti Sb" w:hAnsi="Venacti Sb"/>
          <w:bCs/>
          <w:color w:val="FFFFFF"/>
          <w:sz w:val="26"/>
          <w:szCs w:val="26"/>
          <w:lang w:eastAsia="en-US"/>
        </w:rPr>
        <w:t>ces – Décision modificative n° 4</w:t>
      </w:r>
      <w:r>
        <w:rPr>
          <w:rFonts w:ascii="Venacti Sb" w:hAnsi="Venacti Sb"/>
          <w:bCs/>
          <w:color w:val="FFFFFF"/>
          <w:sz w:val="26"/>
          <w:szCs w:val="26"/>
          <w:lang w:eastAsia="en-US"/>
        </w:rPr>
        <w:t>/2019</w:t>
      </w:r>
    </w:p>
    <w:p w:rsidR="00FB3B53" w:rsidRDefault="00FB3B53" w:rsidP="00FB3B53">
      <w:pPr>
        <w:pStyle w:val="Sansinterligne"/>
        <w:ind w:left="709" w:hanging="709"/>
        <w:rPr>
          <w:rFonts w:ascii="Calibri" w:hAnsi="Calibri"/>
          <w:szCs w:val="22"/>
        </w:rPr>
      </w:pPr>
    </w:p>
    <w:p w:rsidR="00402BC6" w:rsidRDefault="00402BC6" w:rsidP="00402BC6">
      <w:r>
        <w:t>Le Président informe les membres du Comité syndical que la décision modificative n°4/2019 au budget porte sur l’inscription de nouvelles opérations sous mandat à réaliser pour le compte des communes sous la maîtrise d’ouvrage déléguée du SDE35 et l’ajustement de certains crédits.</w:t>
      </w:r>
    </w:p>
    <w:p w:rsidR="001F3B99" w:rsidRDefault="001F3B99" w:rsidP="00FB3B53"/>
    <w:p w:rsidR="00402BC6" w:rsidRDefault="00402BC6" w:rsidP="00402BC6">
      <w:r>
        <w:t>Après délibération, à l’unanimité, le Comité syndical, approuve la décision modificative n°4 au budget 2019 telle que résumée ci-après :</w:t>
      </w:r>
    </w:p>
    <w:p w:rsidR="00402BC6" w:rsidRDefault="00402BC6">
      <w:pPr>
        <w:spacing w:after="200" w:line="276" w:lineRule="auto"/>
        <w:jc w:val="left"/>
      </w:pPr>
    </w:p>
    <w:p w:rsidR="001F3B99" w:rsidRDefault="001F3B99">
      <w:pPr>
        <w:spacing w:after="200" w:line="276" w:lineRule="auto"/>
        <w:jc w:val="left"/>
      </w:pPr>
      <w:r>
        <w:br w:type="page"/>
      </w:r>
    </w:p>
    <w:p w:rsidR="001F3B99" w:rsidRDefault="00402BC6" w:rsidP="00553DF8">
      <w:r>
        <w:rPr>
          <w:noProof/>
        </w:rPr>
        <w:lastRenderedPageBreak/>
        <w:drawing>
          <wp:inline distT="0" distB="0" distL="0" distR="0" wp14:anchorId="279F87D0" wp14:editId="2E29F1C2">
            <wp:extent cx="6064124" cy="8575964"/>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 - 2019_Page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64124" cy="8575964"/>
                    </a:xfrm>
                    <a:prstGeom prst="rect">
                      <a:avLst/>
                    </a:prstGeom>
                  </pic:spPr>
                </pic:pic>
              </a:graphicData>
            </a:graphic>
          </wp:inline>
        </w:drawing>
      </w:r>
    </w:p>
    <w:p w:rsidR="001F3B99" w:rsidRDefault="001F3B99">
      <w:pPr>
        <w:spacing w:after="200" w:line="276" w:lineRule="auto"/>
        <w:jc w:val="left"/>
      </w:pPr>
      <w:r>
        <w:br w:type="page"/>
      </w:r>
    </w:p>
    <w:p w:rsidR="001F3B99" w:rsidRDefault="00402BC6" w:rsidP="00553DF8">
      <w:r>
        <w:rPr>
          <w:noProof/>
        </w:rPr>
        <w:lastRenderedPageBreak/>
        <w:drawing>
          <wp:inline distT="0" distB="0" distL="0" distR="0" wp14:anchorId="1A2C65FD" wp14:editId="34514B77">
            <wp:extent cx="6210300" cy="87826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 - 2019_Page_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300" cy="8782685"/>
                    </a:xfrm>
                    <a:prstGeom prst="rect">
                      <a:avLst/>
                    </a:prstGeom>
                  </pic:spPr>
                </pic:pic>
              </a:graphicData>
            </a:graphic>
          </wp:inline>
        </w:drawing>
      </w:r>
    </w:p>
    <w:p w:rsidR="00402BC6" w:rsidRDefault="00402BC6" w:rsidP="00553DF8">
      <w:r>
        <w:rPr>
          <w:noProof/>
        </w:rPr>
        <w:lastRenderedPageBreak/>
        <w:drawing>
          <wp:inline distT="0" distB="0" distL="0" distR="0" wp14:anchorId="2DC8E2AF" wp14:editId="0EAD0DDF">
            <wp:extent cx="6210300" cy="87826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 - 2019_Page_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0300" cy="8782685"/>
                    </a:xfrm>
                    <a:prstGeom prst="rect">
                      <a:avLst/>
                    </a:prstGeom>
                  </pic:spPr>
                </pic:pic>
              </a:graphicData>
            </a:graphic>
          </wp:inline>
        </w:drawing>
      </w:r>
    </w:p>
    <w:p w:rsidR="00402BC6" w:rsidRDefault="00402BC6" w:rsidP="00553DF8"/>
    <w:p w:rsidR="006A3382" w:rsidRDefault="00402BC6">
      <w:pPr>
        <w:spacing w:after="200" w:line="276" w:lineRule="auto"/>
        <w:jc w:val="left"/>
      </w:pPr>
      <w:r>
        <w:rPr>
          <w:noProof/>
        </w:rPr>
        <w:lastRenderedPageBreak/>
        <w:drawing>
          <wp:inline distT="0" distB="0" distL="0" distR="0" wp14:anchorId="1FF9E3A1" wp14:editId="509E5321">
            <wp:extent cx="6210300" cy="87826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 - 2019_Page_0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10300" cy="8782685"/>
                    </a:xfrm>
                    <a:prstGeom prst="rect">
                      <a:avLst/>
                    </a:prstGeom>
                  </pic:spPr>
                </pic:pic>
              </a:graphicData>
            </a:graphic>
          </wp:inline>
        </w:drawing>
      </w:r>
    </w:p>
    <w:p w:rsidR="00402BC6" w:rsidRDefault="00402BC6">
      <w:pPr>
        <w:spacing w:after="200" w:line="276" w:lineRule="auto"/>
        <w:jc w:val="left"/>
      </w:pPr>
      <w:r>
        <w:rPr>
          <w:noProof/>
        </w:rPr>
        <w:lastRenderedPageBreak/>
        <w:drawing>
          <wp:inline distT="0" distB="0" distL="0" distR="0" wp14:anchorId="64E8094E" wp14:editId="34B9D9E4">
            <wp:extent cx="6210300" cy="87826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4 - 2019_Page_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300" cy="8782685"/>
                    </a:xfrm>
                    <a:prstGeom prst="rect">
                      <a:avLst/>
                    </a:prstGeom>
                  </pic:spPr>
                </pic:pic>
              </a:graphicData>
            </a:graphic>
          </wp:inline>
        </w:drawing>
      </w:r>
    </w:p>
    <w:p w:rsidR="00402BC6" w:rsidRDefault="00402BC6">
      <w:pPr>
        <w:spacing w:after="200" w:line="276" w:lineRule="auto"/>
        <w:jc w:val="left"/>
      </w:pPr>
      <w:r>
        <w:rPr>
          <w:noProof/>
        </w:rPr>
        <w:lastRenderedPageBreak/>
        <w:drawing>
          <wp:inline distT="0" distB="0" distL="0" distR="0" wp14:anchorId="58E8D086" wp14:editId="76949691">
            <wp:extent cx="7987146" cy="4515438"/>
            <wp:effectExtent l="254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CT_DM4_2019.jpg"/>
                    <pic:cNvPicPr/>
                  </pic:nvPicPr>
                  <pic:blipFill rotWithShape="1">
                    <a:blip r:embed="rId15">
                      <a:extLst>
                        <a:ext uri="{28A0092B-C50C-407E-A947-70E740481C1C}">
                          <a14:useLocalDpi xmlns:a14="http://schemas.microsoft.com/office/drawing/2010/main" val="0"/>
                        </a:ext>
                      </a:extLst>
                    </a:blip>
                    <a:srcRect l="4573" r="5584" b="42270"/>
                    <a:stretch/>
                  </pic:blipFill>
                  <pic:spPr bwMode="auto">
                    <a:xfrm rot="16200000">
                      <a:off x="0" y="0"/>
                      <a:ext cx="8002074" cy="4523877"/>
                    </a:xfrm>
                    <a:prstGeom prst="rect">
                      <a:avLst/>
                    </a:prstGeom>
                    <a:ln>
                      <a:noFill/>
                    </a:ln>
                    <a:extLst>
                      <a:ext uri="{53640926-AAD7-44D8-BBD7-CCE9431645EC}">
                        <a14:shadowObscured xmlns:a14="http://schemas.microsoft.com/office/drawing/2010/main"/>
                      </a:ext>
                    </a:extLst>
                  </pic:spPr>
                </pic:pic>
              </a:graphicData>
            </a:graphic>
          </wp:inline>
        </w:drawing>
      </w:r>
    </w:p>
    <w:p w:rsidR="001F3B99" w:rsidRDefault="001F3B99">
      <w:pPr>
        <w:spacing w:after="200" w:line="276" w:lineRule="auto"/>
        <w:jc w:val="left"/>
      </w:pPr>
      <w:r>
        <w:br w:type="page"/>
      </w:r>
    </w:p>
    <w:p w:rsidR="00BA304E" w:rsidRDefault="00B8382B"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B8382B">
        <w:rPr>
          <w:rFonts w:ascii="Venacti Sb" w:hAnsi="Venacti Sb"/>
          <w:bCs/>
          <w:color w:val="FFFFFF"/>
          <w:sz w:val="26"/>
          <w:szCs w:val="26"/>
          <w:lang w:eastAsia="en-US"/>
        </w:rPr>
        <w:lastRenderedPageBreak/>
        <w:t>Intégration d’un nouveau représentant de Rennes Métropole en qualité de délégué suppléant au Comité syndica</w:t>
      </w:r>
      <w:r>
        <w:rPr>
          <w:rFonts w:ascii="Venacti Sb" w:hAnsi="Venacti Sb"/>
          <w:bCs/>
          <w:color w:val="FFFFFF"/>
          <w:sz w:val="26"/>
          <w:szCs w:val="26"/>
          <w:lang w:eastAsia="en-US"/>
        </w:rPr>
        <w:t>l</w:t>
      </w:r>
    </w:p>
    <w:p w:rsidR="00BA304E" w:rsidRDefault="00BA304E" w:rsidP="00B8382B">
      <w:pPr>
        <w:rPr>
          <w:lang w:eastAsia="en-US"/>
        </w:rPr>
      </w:pPr>
    </w:p>
    <w:p w:rsidR="00B8382B" w:rsidRPr="00B8382B" w:rsidRDefault="00B8382B" w:rsidP="00B8382B">
      <w:pPr>
        <w:rPr>
          <w:color w:val="454546" w:themeColor="text2" w:themeShade="80"/>
        </w:rPr>
      </w:pPr>
      <w:r w:rsidRPr="00B8382B">
        <w:rPr>
          <w:color w:val="454546" w:themeColor="text2" w:themeShade="80"/>
        </w:rPr>
        <w:t>Faisant suite au décès d’un délégué suppléant du Comité syndical du SDE35, représentant désigné au sein du collège électoral de Rennes Métropole, un nouveau représentant a été désigné le 27 juin lors de la séance du conseil communautaire de Rennes Métropole.</w:t>
      </w:r>
    </w:p>
    <w:p w:rsidR="00B8382B" w:rsidRPr="00B8382B" w:rsidRDefault="00B8382B" w:rsidP="00B8382B">
      <w:pPr>
        <w:rPr>
          <w:color w:val="454546" w:themeColor="text2" w:themeShade="80"/>
        </w:rPr>
      </w:pPr>
    </w:p>
    <w:p w:rsidR="00B8382B" w:rsidRPr="00B8382B" w:rsidRDefault="00B8382B" w:rsidP="00B8382B">
      <w:pPr>
        <w:rPr>
          <w:color w:val="454546" w:themeColor="text2" w:themeShade="80"/>
        </w:rPr>
      </w:pPr>
      <w:r>
        <w:rPr>
          <w:color w:val="454546" w:themeColor="text2" w:themeShade="80"/>
        </w:rPr>
        <w:t xml:space="preserve">Le </w:t>
      </w:r>
      <w:r w:rsidRPr="00B8382B">
        <w:rPr>
          <w:color w:val="454546" w:themeColor="text2" w:themeShade="80"/>
        </w:rPr>
        <w:t>Comité syndical</w:t>
      </w:r>
      <w:r>
        <w:rPr>
          <w:color w:val="454546" w:themeColor="text2" w:themeShade="80"/>
        </w:rPr>
        <w:t>, à l’unanimité</w:t>
      </w:r>
      <w:r w:rsidR="00C01B3F">
        <w:rPr>
          <w:color w:val="454546" w:themeColor="text2" w:themeShade="80"/>
        </w:rPr>
        <w:t>, décide d’</w:t>
      </w:r>
      <w:r w:rsidRPr="00B8382B">
        <w:rPr>
          <w:color w:val="454546" w:themeColor="text2" w:themeShade="80"/>
        </w:rPr>
        <w:t xml:space="preserve">intégrer la nomination de </w:t>
      </w:r>
      <w:r>
        <w:rPr>
          <w:color w:val="454546" w:themeColor="text2" w:themeShade="80"/>
        </w:rPr>
        <w:t xml:space="preserve">Monsieur Jean-Christian SAUCET, en qualité de </w:t>
      </w:r>
      <w:r w:rsidRPr="00B8382B">
        <w:rPr>
          <w:color w:val="454546" w:themeColor="text2" w:themeShade="80"/>
        </w:rPr>
        <w:t xml:space="preserve">nouveau délégué suppléant </w:t>
      </w:r>
      <w:r>
        <w:rPr>
          <w:color w:val="454546" w:themeColor="text2" w:themeShade="80"/>
        </w:rPr>
        <w:t>au Comité syndical du SDE35.</w:t>
      </w:r>
    </w:p>
    <w:p w:rsidR="00BA304E" w:rsidRDefault="00BA304E" w:rsidP="00BA304E">
      <w:pPr>
        <w:rPr>
          <w:lang w:eastAsia="en-US"/>
        </w:rPr>
      </w:pPr>
    </w:p>
    <w:p w:rsidR="006F1156" w:rsidRPr="00BA304E" w:rsidRDefault="006F1156" w:rsidP="00BA304E">
      <w:pPr>
        <w:rPr>
          <w:lang w:eastAsia="en-US"/>
        </w:rPr>
      </w:pPr>
    </w:p>
    <w:p w:rsidR="00BA304E" w:rsidRDefault="00B8382B"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B8382B">
        <w:rPr>
          <w:rFonts w:ascii="Venacti Sb" w:hAnsi="Venacti Sb"/>
          <w:bCs/>
          <w:color w:val="FFFFFF"/>
          <w:sz w:val="26"/>
          <w:szCs w:val="26"/>
          <w:lang w:eastAsia="en-US"/>
        </w:rPr>
        <w:t>Modalités de perception de la Taxe sur la Consommation Finale d’Electricité pour les communes nouvelles 2019</w:t>
      </w:r>
    </w:p>
    <w:p w:rsidR="00BA304E" w:rsidRDefault="00BA304E" w:rsidP="00BA304E">
      <w:pPr>
        <w:rPr>
          <w:lang w:eastAsia="en-US"/>
        </w:rPr>
      </w:pPr>
    </w:p>
    <w:p w:rsidR="00B8382B" w:rsidRDefault="00B8382B" w:rsidP="00B8382B">
      <w:pPr>
        <w:rPr>
          <w:rFonts w:ascii="Calibri" w:hAnsi="Calibri"/>
          <w:szCs w:val="22"/>
        </w:rPr>
      </w:pPr>
      <w:r>
        <w:t>Sept nouvelles communes ont été créées depuis le 1</w:t>
      </w:r>
      <w:r w:rsidRPr="00376B08">
        <w:rPr>
          <w:vertAlign w:val="superscript"/>
        </w:rPr>
        <w:t>er</w:t>
      </w:r>
      <w:r>
        <w:t xml:space="preserve"> janvier 2019 : </w:t>
      </w:r>
      <w:proofErr w:type="spellStart"/>
      <w:r>
        <w:t>Luitré</w:t>
      </w:r>
      <w:proofErr w:type="spellEnd"/>
      <w:r>
        <w:t>-Dompierre, Mesnil-</w:t>
      </w:r>
      <w:proofErr w:type="spellStart"/>
      <w:r>
        <w:t>Roc’h</w:t>
      </w:r>
      <w:proofErr w:type="spellEnd"/>
      <w:r>
        <w:t xml:space="preserve">, Montauban-de-Bretagne, </w:t>
      </w:r>
      <w:proofErr w:type="spellStart"/>
      <w:r>
        <w:t>Piré-Chancé</w:t>
      </w:r>
      <w:proofErr w:type="spellEnd"/>
      <w:r>
        <w:t xml:space="preserve">, Rives-du-Couesnon, Saint-Marc-le-Blanc, et Val </w:t>
      </w:r>
      <w:proofErr w:type="spellStart"/>
      <w:r>
        <w:t>Couësnon</w:t>
      </w:r>
      <w:proofErr w:type="spellEnd"/>
      <w:r>
        <w:t xml:space="preserve">. Conformément </w:t>
      </w:r>
      <w:r w:rsidRPr="0071540C">
        <w:rPr>
          <w:rFonts w:ascii="Calibri" w:hAnsi="Calibri"/>
          <w:szCs w:val="22"/>
        </w:rPr>
        <w:t>aux dispositions du code général de collectivités territoriales (L. 2333-</w:t>
      </w:r>
      <w:r>
        <w:rPr>
          <w:rFonts w:ascii="Calibri" w:hAnsi="Calibri"/>
          <w:szCs w:val="22"/>
        </w:rPr>
        <w:t>4) relatives à la Taxe sur la Consommation Finale d’Electricité, il convient de redéfinir pour ces sept communes les modalités de perception de cette recette fiscale.</w:t>
      </w:r>
    </w:p>
    <w:p w:rsidR="00B8382B" w:rsidRDefault="00B8382B" w:rsidP="00B8382B">
      <w:pPr>
        <w:rPr>
          <w:rFonts w:ascii="Calibri" w:hAnsi="Calibri"/>
          <w:szCs w:val="22"/>
        </w:rPr>
      </w:pPr>
    </w:p>
    <w:p w:rsidR="00B8382B" w:rsidRDefault="00B8382B" w:rsidP="00B8382B">
      <w:pPr>
        <w:rPr>
          <w:rFonts w:ascii="Calibri" w:hAnsi="Calibri"/>
          <w:szCs w:val="22"/>
        </w:rPr>
      </w:pPr>
      <w:r>
        <w:rPr>
          <w:rFonts w:ascii="Calibri" w:hAnsi="Calibri"/>
          <w:szCs w:val="22"/>
        </w:rPr>
        <w:t xml:space="preserve">Concernant  les modalités de perception de cette taxe, trois cas de figure se présentent : </w:t>
      </w:r>
    </w:p>
    <w:p w:rsidR="00B8382B" w:rsidRPr="0051289C" w:rsidRDefault="00B8382B" w:rsidP="00B8382B">
      <w:pPr>
        <w:pStyle w:val="Paragraphedeliste"/>
        <w:numPr>
          <w:ilvl w:val="0"/>
          <w:numId w:val="12"/>
        </w:numPr>
        <w:spacing w:line="240" w:lineRule="auto"/>
        <w:rPr>
          <w:rFonts w:ascii="Calibri" w:hAnsi="Calibri"/>
          <w:szCs w:val="22"/>
        </w:rPr>
      </w:pPr>
      <w:r w:rsidRPr="00B16F12">
        <w:rPr>
          <w:rFonts w:ascii="Calibri" w:hAnsi="Calibri"/>
          <w:b/>
          <w:szCs w:val="22"/>
        </w:rPr>
        <w:t xml:space="preserve">Pour les communes nouvelles de moins de 2000 habitants </w:t>
      </w:r>
      <w:r>
        <w:rPr>
          <w:rFonts w:ascii="Calibri" w:hAnsi="Calibri"/>
          <w:szCs w:val="22"/>
        </w:rPr>
        <w:t>(</w:t>
      </w:r>
      <w:proofErr w:type="spellStart"/>
      <w:r w:rsidRPr="00B16F12">
        <w:rPr>
          <w:rFonts w:ascii="Calibri" w:hAnsi="Calibri"/>
          <w:szCs w:val="22"/>
          <w:u w:val="single"/>
        </w:rPr>
        <w:t>Luitré</w:t>
      </w:r>
      <w:proofErr w:type="spellEnd"/>
      <w:r w:rsidRPr="00B16F12">
        <w:rPr>
          <w:rFonts w:ascii="Calibri" w:hAnsi="Calibri"/>
          <w:szCs w:val="22"/>
          <w:u w:val="single"/>
        </w:rPr>
        <w:t>-Dompierre et Saint-Marc-Le-Blanc</w:t>
      </w:r>
      <w:r>
        <w:rPr>
          <w:rFonts w:ascii="Calibri" w:hAnsi="Calibri"/>
          <w:szCs w:val="22"/>
        </w:rPr>
        <w:t>) : la perception revient de plein droit au syndicat dès l’année 2021. Ces communes restent des communes rurales, classées en catégorie « B ». Des délibérations concordantes sont  néanmoins requises avant le 1</w:t>
      </w:r>
      <w:r w:rsidRPr="004A02D2">
        <w:rPr>
          <w:rFonts w:ascii="Calibri" w:hAnsi="Calibri"/>
          <w:szCs w:val="22"/>
          <w:vertAlign w:val="superscript"/>
        </w:rPr>
        <w:t>er</w:t>
      </w:r>
      <w:r>
        <w:rPr>
          <w:rFonts w:ascii="Calibri" w:hAnsi="Calibri"/>
          <w:szCs w:val="22"/>
        </w:rPr>
        <w:t xml:space="preserve"> octobre 2020 afin de garantir la prise en compte de l’information par les services fiscaux à partir de </w:t>
      </w:r>
      <w:r w:rsidRPr="0051289C">
        <w:rPr>
          <w:rFonts w:ascii="Calibri" w:hAnsi="Calibri"/>
          <w:szCs w:val="22"/>
        </w:rPr>
        <w:t>2021.</w:t>
      </w:r>
    </w:p>
    <w:p w:rsidR="00B8382B" w:rsidRDefault="00B8382B" w:rsidP="00B8382B">
      <w:pPr>
        <w:pStyle w:val="Paragraphedeliste"/>
        <w:numPr>
          <w:ilvl w:val="0"/>
          <w:numId w:val="12"/>
        </w:numPr>
        <w:spacing w:line="240" w:lineRule="auto"/>
        <w:contextualSpacing w:val="0"/>
        <w:rPr>
          <w:szCs w:val="22"/>
        </w:rPr>
      </w:pPr>
      <w:r w:rsidRPr="00E02AD4">
        <w:rPr>
          <w:rFonts w:ascii="Calibri" w:hAnsi="Calibri"/>
          <w:b/>
          <w:szCs w:val="22"/>
        </w:rPr>
        <w:t>Pour les communes nouvelles de plus de 2 000 habitants</w:t>
      </w:r>
      <w:r w:rsidRPr="00E02AD4">
        <w:rPr>
          <w:rFonts w:ascii="Calibri" w:hAnsi="Calibri"/>
          <w:szCs w:val="22"/>
        </w:rPr>
        <w:t xml:space="preserve"> et créés avant le 1</w:t>
      </w:r>
      <w:r w:rsidRPr="00E02AD4">
        <w:rPr>
          <w:rFonts w:ascii="Calibri" w:hAnsi="Calibri"/>
          <w:szCs w:val="22"/>
          <w:vertAlign w:val="superscript"/>
        </w:rPr>
        <w:t>er</w:t>
      </w:r>
      <w:r w:rsidRPr="00E02AD4">
        <w:rPr>
          <w:rFonts w:ascii="Calibri" w:hAnsi="Calibri"/>
          <w:szCs w:val="22"/>
        </w:rPr>
        <w:t xml:space="preserve"> octobre 2018 (Cas de </w:t>
      </w:r>
      <w:r w:rsidRPr="00E02AD4">
        <w:rPr>
          <w:rFonts w:ascii="Calibri" w:hAnsi="Calibri"/>
          <w:szCs w:val="22"/>
          <w:u w:val="single"/>
        </w:rPr>
        <w:t>Val-Couesnon</w:t>
      </w:r>
      <w:r w:rsidRPr="00E02AD4">
        <w:rPr>
          <w:rFonts w:ascii="Calibri" w:hAnsi="Calibri"/>
          <w:szCs w:val="22"/>
        </w:rPr>
        <w:t xml:space="preserve">), il appartient à </w:t>
      </w:r>
      <w:r>
        <w:rPr>
          <w:rFonts w:ascii="Calibri" w:hAnsi="Calibri"/>
          <w:szCs w:val="22"/>
        </w:rPr>
        <w:t>la</w:t>
      </w:r>
      <w:r w:rsidRPr="00E02AD4">
        <w:rPr>
          <w:rFonts w:ascii="Calibri" w:hAnsi="Calibri"/>
          <w:szCs w:val="22"/>
        </w:rPr>
        <w:t xml:space="preserve"> communes et au SDE35 de rédiger des délibérations concordantes avant le 1</w:t>
      </w:r>
      <w:r w:rsidRPr="00E02AD4">
        <w:rPr>
          <w:rFonts w:ascii="Calibri" w:hAnsi="Calibri"/>
          <w:szCs w:val="22"/>
          <w:vertAlign w:val="superscript"/>
        </w:rPr>
        <w:t>er</w:t>
      </w:r>
      <w:r w:rsidRPr="00E02AD4">
        <w:rPr>
          <w:rFonts w:ascii="Calibri" w:hAnsi="Calibri"/>
          <w:szCs w:val="22"/>
        </w:rPr>
        <w:t xml:space="preserve"> octobre 2019. Cette commune pouvait</w:t>
      </w:r>
      <w:r w:rsidRPr="00E02AD4">
        <w:rPr>
          <w:szCs w:val="22"/>
        </w:rPr>
        <w:t xml:space="preserve"> prétendre à la perception de la TCFE à compter du 1</w:t>
      </w:r>
      <w:r w:rsidRPr="00E02AD4">
        <w:rPr>
          <w:szCs w:val="22"/>
          <w:vertAlign w:val="superscript"/>
        </w:rPr>
        <w:t>er</w:t>
      </w:r>
      <w:r w:rsidRPr="00E02AD4">
        <w:rPr>
          <w:szCs w:val="22"/>
        </w:rPr>
        <w:t xml:space="preserve"> janvier 2020. </w:t>
      </w:r>
    </w:p>
    <w:p w:rsidR="00B8382B" w:rsidRPr="00256575" w:rsidRDefault="00B8382B" w:rsidP="00B8382B">
      <w:pPr>
        <w:pStyle w:val="Paragraphedeliste"/>
        <w:numPr>
          <w:ilvl w:val="0"/>
          <w:numId w:val="12"/>
        </w:numPr>
        <w:spacing w:line="240" w:lineRule="auto"/>
        <w:contextualSpacing w:val="0"/>
        <w:rPr>
          <w:rFonts w:ascii="Calibri" w:hAnsi="Calibri"/>
          <w:szCs w:val="22"/>
        </w:rPr>
      </w:pPr>
      <w:r w:rsidRPr="00E02AD4">
        <w:rPr>
          <w:rFonts w:ascii="Calibri" w:hAnsi="Calibri"/>
          <w:b/>
          <w:szCs w:val="22"/>
        </w:rPr>
        <w:t>Pour les communes nouvelles de plus de 2 000 habitants, et créés après le 1</w:t>
      </w:r>
      <w:r w:rsidRPr="00E02AD4">
        <w:rPr>
          <w:rFonts w:ascii="Calibri" w:hAnsi="Calibri"/>
          <w:b/>
          <w:szCs w:val="22"/>
          <w:vertAlign w:val="superscript"/>
        </w:rPr>
        <w:t>er</w:t>
      </w:r>
      <w:r w:rsidRPr="00E02AD4">
        <w:rPr>
          <w:rFonts w:ascii="Calibri" w:hAnsi="Calibri"/>
          <w:b/>
          <w:szCs w:val="22"/>
        </w:rPr>
        <w:t xml:space="preserve"> octobre 2018 </w:t>
      </w:r>
      <w:r w:rsidRPr="00E02AD4">
        <w:rPr>
          <w:rFonts w:ascii="Calibri" w:hAnsi="Calibri"/>
          <w:szCs w:val="22"/>
        </w:rPr>
        <w:t>(</w:t>
      </w:r>
      <w:r w:rsidRPr="00E02AD4">
        <w:rPr>
          <w:u w:val="single"/>
        </w:rPr>
        <w:t>Mesnil-</w:t>
      </w:r>
      <w:proofErr w:type="spellStart"/>
      <w:r w:rsidRPr="00E02AD4">
        <w:rPr>
          <w:u w:val="single"/>
        </w:rPr>
        <w:t>Roc’h</w:t>
      </w:r>
      <w:proofErr w:type="spellEnd"/>
      <w:r w:rsidRPr="00E02AD4">
        <w:rPr>
          <w:u w:val="single"/>
        </w:rPr>
        <w:t xml:space="preserve">, Montauban-de-Bretagne, </w:t>
      </w:r>
      <w:proofErr w:type="spellStart"/>
      <w:r w:rsidRPr="00E02AD4">
        <w:rPr>
          <w:u w:val="single"/>
        </w:rPr>
        <w:t>Piré-Chancé</w:t>
      </w:r>
      <w:proofErr w:type="spellEnd"/>
      <w:r w:rsidRPr="00E02AD4">
        <w:rPr>
          <w:u w:val="single"/>
        </w:rPr>
        <w:t>, Rives-du-Couesnon</w:t>
      </w:r>
      <w:r>
        <w:t>)</w:t>
      </w:r>
      <w:r w:rsidRPr="00E02AD4">
        <w:rPr>
          <w:rFonts w:ascii="Calibri" w:hAnsi="Calibri"/>
          <w:szCs w:val="22"/>
        </w:rPr>
        <w:t>, il appartient à chacune des communes et au SDE35 de passer des délibérations concordantes avant le 1</w:t>
      </w:r>
      <w:r w:rsidRPr="00E02AD4">
        <w:rPr>
          <w:rFonts w:ascii="Calibri" w:hAnsi="Calibri"/>
          <w:szCs w:val="22"/>
          <w:vertAlign w:val="superscript"/>
        </w:rPr>
        <w:t>er</w:t>
      </w:r>
      <w:r w:rsidRPr="00E02AD4">
        <w:rPr>
          <w:rFonts w:ascii="Calibri" w:hAnsi="Calibri"/>
          <w:szCs w:val="22"/>
        </w:rPr>
        <w:t xml:space="preserve"> octobre 2020. Ces nouvelles communes peuvent</w:t>
      </w:r>
      <w:r w:rsidRPr="00E02AD4">
        <w:rPr>
          <w:szCs w:val="22"/>
        </w:rPr>
        <w:t xml:space="preserve"> prétendre à la perception de la TCFE à compter du 1</w:t>
      </w:r>
      <w:r w:rsidRPr="00E02AD4">
        <w:rPr>
          <w:szCs w:val="22"/>
          <w:vertAlign w:val="superscript"/>
        </w:rPr>
        <w:t>er</w:t>
      </w:r>
      <w:r w:rsidRPr="00E02AD4">
        <w:rPr>
          <w:szCs w:val="22"/>
        </w:rPr>
        <w:t xml:space="preserve"> janvier 2021.</w:t>
      </w:r>
    </w:p>
    <w:p w:rsidR="00B8382B" w:rsidRPr="00C13B9A" w:rsidRDefault="00B8382B" w:rsidP="00B8382B">
      <w:pPr>
        <w:pStyle w:val="Paragraphedeliste"/>
        <w:spacing w:line="240" w:lineRule="auto"/>
        <w:contextualSpacing w:val="0"/>
        <w:rPr>
          <w:rFonts w:ascii="Calibri" w:hAnsi="Calibri"/>
          <w:szCs w:val="22"/>
        </w:rPr>
      </w:pPr>
      <w:r w:rsidRPr="00C13B9A">
        <w:rPr>
          <w:rFonts w:ascii="Calibri" w:hAnsi="Calibri"/>
          <w:szCs w:val="22"/>
        </w:rPr>
        <w:t xml:space="preserve"> </w:t>
      </w:r>
    </w:p>
    <w:p w:rsidR="00B8382B" w:rsidRDefault="00B8382B" w:rsidP="00B8382B">
      <w:pPr>
        <w:pStyle w:val="Paragraphedeliste"/>
        <w:spacing w:line="240" w:lineRule="auto"/>
        <w:ind w:left="0"/>
        <w:rPr>
          <w:rFonts w:ascii="Calibri" w:hAnsi="Calibri"/>
          <w:szCs w:val="22"/>
        </w:rPr>
      </w:pPr>
      <w:r>
        <w:rPr>
          <w:rFonts w:ascii="Calibri" w:hAnsi="Calibri"/>
          <w:szCs w:val="22"/>
        </w:rPr>
        <w:t>A l’occasion du bureau du 29 janvier 2019, les élus ont souhaité que chacune des communes de plus de 2000 habitants fasse l’objet d’une rencontre dans laquelle leur seraient exposées les deux modalités possibles de perception de la TCFE (commune ou SDE35) et les impacts financiers et techniques liés à ce choix :</w:t>
      </w:r>
    </w:p>
    <w:p w:rsidR="00B8382B" w:rsidRDefault="00B8382B" w:rsidP="00B8382B">
      <w:pPr>
        <w:pStyle w:val="Paragraphedeliste"/>
        <w:numPr>
          <w:ilvl w:val="0"/>
          <w:numId w:val="14"/>
        </w:numPr>
        <w:spacing w:line="240" w:lineRule="auto"/>
        <w:rPr>
          <w:rFonts w:ascii="Calibri" w:hAnsi="Calibri"/>
          <w:szCs w:val="22"/>
        </w:rPr>
      </w:pPr>
      <w:r>
        <w:rPr>
          <w:rFonts w:ascii="Calibri" w:hAnsi="Calibri"/>
          <w:szCs w:val="22"/>
        </w:rPr>
        <w:t>Répartition différente de la maîtrise d’ouvrage sur le réseau électrique entre ENEDIS ET LE SDE35,</w:t>
      </w:r>
    </w:p>
    <w:p w:rsidR="00B8382B" w:rsidRDefault="00B8382B" w:rsidP="00B8382B">
      <w:pPr>
        <w:pStyle w:val="Paragraphedeliste"/>
        <w:numPr>
          <w:ilvl w:val="0"/>
          <w:numId w:val="14"/>
        </w:numPr>
        <w:spacing w:line="240" w:lineRule="auto"/>
        <w:rPr>
          <w:rFonts w:ascii="Calibri" w:hAnsi="Calibri"/>
          <w:szCs w:val="22"/>
        </w:rPr>
      </w:pPr>
      <w:r>
        <w:rPr>
          <w:rFonts w:ascii="Calibri" w:hAnsi="Calibri"/>
          <w:szCs w:val="22"/>
        </w:rPr>
        <w:t>Régime d’aides financières du SDE35 différencié,</w:t>
      </w:r>
    </w:p>
    <w:p w:rsidR="00B8382B" w:rsidRDefault="00B8382B" w:rsidP="00B8382B">
      <w:pPr>
        <w:pStyle w:val="Paragraphedeliste"/>
        <w:numPr>
          <w:ilvl w:val="0"/>
          <w:numId w:val="14"/>
        </w:numPr>
        <w:spacing w:line="240" w:lineRule="auto"/>
        <w:rPr>
          <w:rFonts w:ascii="Calibri" w:hAnsi="Calibri"/>
          <w:szCs w:val="22"/>
        </w:rPr>
      </w:pPr>
      <w:r>
        <w:rPr>
          <w:rFonts w:ascii="Calibri" w:hAnsi="Calibri"/>
          <w:szCs w:val="22"/>
        </w:rPr>
        <w:t>Simulation financière réalisée sur le bilan 2015/2018 des travaux menés sur chacune des communes et des montants pris en charge par le SDE35.</w:t>
      </w:r>
    </w:p>
    <w:p w:rsidR="00B8382B" w:rsidRDefault="00B8382B" w:rsidP="00B8382B">
      <w:pPr>
        <w:pStyle w:val="Paragraphedeliste"/>
        <w:spacing w:line="240" w:lineRule="auto"/>
        <w:ind w:left="0"/>
        <w:rPr>
          <w:rFonts w:ascii="Calibri" w:hAnsi="Calibri"/>
          <w:szCs w:val="22"/>
        </w:rPr>
      </w:pPr>
    </w:p>
    <w:p w:rsidR="00B8382B" w:rsidRDefault="00B8382B" w:rsidP="00B8382B">
      <w:pPr>
        <w:pStyle w:val="Paragraphedeliste"/>
        <w:spacing w:line="240" w:lineRule="auto"/>
        <w:ind w:left="0"/>
        <w:rPr>
          <w:rFonts w:ascii="Calibri" w:hAnsi="Calibri"/>
          <w:szCs w:val="22"/>
        </w:rPr>
      </w:pPr>
      <w:r>
        <w:rPr>
          <w:rFonts w:ascii="Calibri" w:hAnsi="Calibri"/>
          <w:szCs w:val="22"/>
        </w:rPr>
        <w:t xml:space="preserve">Pour les communes nouvelles nées d’une fusion de communes classées en catégorie B (Commune rurale), il leur a été proposé de rester en catégorie B. </w:t>
      </w:r>
      <w:r w:rsidRPr="00EA4BBD">
        <w:rPr>
          <w:rFonts w:ascii="Calibri" w:hAnsi="Calibri"/>
          <w:szCs w:val="22"/>
        </w:rPr>
        <w:t xml:space="preserve">Toutes les communes concernées ont </w:t>
      </w:r>
      <w:r>
        <w:rPr>
          <w:rFonts w:ascii="Calibri" w:hAnsi="Calibri"/>
          <w:szCs w:val="22"/>
        </w:rPr>
        <w:t xml:space="preserve">émis un avis favorable à </w:t>
      </w:r>
      <w:r w:rsidRPr="00EA4BBD">
        <w:rPr>
          <w:rFonts w:ascii="Calibri" w:hAnsi="Calibri"/>
          <w:szCs w:val="22"/>
        </w:rPr>
        <w:t>cette disposition</w:t>
      </w:r>
      <w:r>
        <w:rPr>
          <w:rFonts w:ascii="Calibri" w:hAnsi="Calibri"/>
          <w:szCs w:val="22"/>
        </w:rPr>
        <w:t> :</w:t>
      </w:r>
    </w:p>
    <w:p w:rsidR="00B8382B" w:rsidRDefault="00B8382B" w:rsidP="00B8382B">
      <w:pPr>
        <w:pStyle w:val="Paragraphedeliste"/>
        <w:numPr>
          <w:ilvl w:val="0"/>
          <w:numId w:val="15"/>
        </w:numPr>
        <w:spacing w:line="240" w:lineRule="auto"/>
        <w:rPr>
          <w:rFonts w:ascii="Calibri" w:hAnsi="Calibri"/>
          <w:szCs w:val="22"/>
        </w:rPr>
      </w:pPr>
      <w:r>
        <w:rPr>
          <w:rFonts w:ascii="Calibri" w:hAnsi="Calibri"/>
          <w:szCs w:val="22"/>
        </w:rPr>
        <w:t xml:space="preserve">Par délibération </w:t>
      </w:r>
      <w:r w:rsidRPr="005A16A7">
        <w:rPr>
          <w:rFonts w:ascii="Calibri" w:hAnsi="Calibri"/>
          <w:szCs w:val="22"/>
        </w:rPr>
        <w:t>du 29 août 2019</w:t>
      </w:r>
      <w:r>
        <w:rPr>
          <w:rFonts w:ascii="Calibri" w:hAnsi="Calibri"/>
          <w:szCs w:val="22"/>
        </w:rPr>
        <w:t xml:space="preserve"> pour la commune de Val-Couesnon,</w:t>
      </w:r>
    </w:p>
    <w:p w:rsidR="00B8382B" w:rsidRDefault="00B8382B" w:rsidP="00B8382B">
      <w:pPr>
        <w:pStyle w:val="Paragraphedeliste"/>
        <w:numPr>
          <w:ilvl w:val="0"/>
          <w:numId w:val="15"/>
        </w:numPr>
        <w:spacing w:line="240" w:lineRule="auto"/>
        <w:rPr>
          <w:rFonts w:ascii="Calibri" w:hAnsi="Calibri"/>
          <w:szCs w:val="22"/>
        </w:rPr>
      </w:pPr>
      <w:r>
        <w:rPr>
          <w:rFonts w:ascii="Calibri" w:hAnsi="Calibri"/>
          <w:szCs w:val="22"/>
        </w:rPr>
        <w:t xml:space="preserve">Par délibération </w:t>
      </w:r>
      <w:r w:rsidRPr="005A16A7">
        <w:rPr>
          <w:rFonts w:ascii="Calibri" w:hAnsi="Calibri"/>
          <w:szCs w:val="22"/>
        </w:rPr>
        <w:t>du 17 juillet 2019</w:t>
      </w:r>
      <w:r>
        <w:rPr>
          <w:rFonts w:ascii="Calibri" w:hAnsi="Calibri"/>
          <w:szCs w:val="22"/>
        </w:rPr>
        <w:t xml:space="preserve"> pour la commune de Mesnil Roch’,</w:t>
      </w:r>
    </w:p>
    <w:p w:rsidR="00B8382B" w:rsidRPr="00EA4BBD" w:rsidRDefault="00B8382B" w:rsidP="00B8382B">
      <w:pPr>
        <w:pStyle w:val="Paragraphedeliste"/>
        <w:numPr>
          <w:ilvl w:val="0"/>
          <w:numId w:val="15"/>
        </w:numPr>
        <w:spacing w:line="240" w:lineRule="auto"/>
        <w:rPr>
          <w:rFonts w:ascii="Calibri" w:hAnsi="Calibri"/>
          <w:szCs w:val="22"/>
        </w:rPr>
      </w:pPr>
      <w:r>
        <w:rPr>
          <w:rFonts w:ascii="Calibri" w:hAnsi="Calibri"/>
          <w:szCs w:val="22"/>
        </w:rPr>
        <w:t xml:space="preserve">Par délibération </w:t>
      </w:r>
      <w:r w:rsidRPr="00E82761">
        <w:rPr>
          <w:rFonts w:ascii="Calibri" w:hAnsi="Calibri"/>
          <w:szCs w:val="22"/>
        </w:rPr>
        <w:t>à venir en octobre 2019</w:t>
      </w:r>
      <w:r>
        <w:rPr>
          <w:rFonts w:ascii="Calibri" w:hAnsi="Calibri"/>
          <w:szCs w:val="22"/>
        </w:rPr>
        <w:t xml:space="preserve"> pour la commune de de </w:t>
      </w:r>
      <w:proofErr w:type="spellStart"/>
      <w:r>
        <w:rPr>
          <w:rFonts w:ascii="Calibri" w:hAnsi="Calibri"/>
          <w:szCs w:val="22"/>
        </w:rPr>
        <w:t>Piré-Chancé</w:t>
      </w:r>
      <w:proofErr w:type="spellEnd"/>
      <w:r>
        <w:rPr>
          <w:rFonts w:ascii="Calibri" w:hAnsi="Calibri"/>
          <w:szCs w:val="22"/>
        </w:rPr>
        <w:t>.</w:t>
      </w:r>
    </w:p>
    <w:p w:rsidR="00B8382B" w:rsidRDefault="00B8382B" w:rsidP="00B8382B">
      <w:pPr>
        <w:pStyle w:val="Paragraphedeliste"/>
        <w:numPr>
          <w:ilvl w:val="0"/>
          <w:numId w:val="15"/>
        </w:numPr>
        <w:spacing w:line="240" w:lineRule="auto"/>
        <w:rPr>
          <w:rFonts w:ascii="Calibri" w:hAnsi="Calibri"/>
          <w:szCs w:val="22"/>
        </w:rPr>
      </w:pPr>
      <w:r>
        <w:rPr>
          <w:rFonts w:ascii="Calibri" w:hAnsi="Calibri"/>
          <w:szCs w:val="22"/>
        </w:rPr>
        <w:t xml:space="preserve">Par délibération </w:t>
      </w:r>
      <w:r w:rsidRPr="00E82761">
        <w:rPr>
          <w:rFonts w:ascii="Calibri" w:hAnsi="Calibri"/>
          <w:szCs w:val="22"/>
        </w:rPr>
        <w:t>à venir avant le 1</w:t>
      </w:r>
      <w:r w:rsidRPr="00E82761">
        <w:rPr>
          <w:rFonts w:ascii="Calibri" w:hAnsi="Calibri"/>
          <w:szCs w:val="22"/>
          <w:vertAlign w:val="superscript"/>
        </w:rPr>
        <w:t>er</w:t>
      </w:r>
      <w:r w:rsidRPr="00E82761">
        <w:rPr>
          <w:rFonts w:ascii="Calibri" w:hAnsi="Calibri"/>
          <w:szCs w:val="22"/>
        </w:rPr>
        <w:t xml:space="preserve"> octobre 2020 </w:t>
      </w:r>
      <w:r>
        <w:rPr>
          <w:rFonts w:ascii="Calibri" w:hAnsi="Calibri"/>
          <w:szCs w:val="22"/>
        </w:rPr>
        <w:t>pour la commune de Rives-du-Couesnon,</w:t>
      </w:r>
    </w:p>
    <w:p w:rsidR="00B8382B" w:rsidRDefault="00B8382B" w:rsidP="00B8382B">
      <w:pPr>
        <w:pStyle w:val="Paragraphedeliste"/>
        <w:spacing w:line="240" w:lineRule="auto"/>
        <w:ind w:left="0"/>
        <w:rPr>
          <w:rFonts w:ascii="Calibri" w:hAnsi="Calibri"/>
          <w:szCs w:val="22"/>
          <w:highlight w:val="yellow"/>
        </w:rPr>
      </w:pPr>
    </w:p>
    <w:p w:rsidR="00B8382B" w:rsidRDefault="00C01B3F" w:rsidP="00B8382B">
      <w:pPr>
        <w:pStyle w:val="Paragraphedeliste"/>
        <w:spacing w:line="240" w:lineRule="auto"/>
        <w:ind w:left="0"/>
        <w:rPr>
          <w:rFonts w:ascii="Calibri" w:hAnsi="Calibri"/>
          <w:szCs w:val="22"/>
        </w:rPr>
      </w:pPr>
      <w:r>
        <w:rPr>
          <w:rFonts w:ascii="Calibri" w:hAnsi="Calibri"/>
          <w:szCs w:val="22"/>
        </w:rPr>
        <w:t>Concernant</w:t>
      </w:r>
      <w:r w:rsidR="00B8382B">
        <w:rPr>
          <w:rFonts w:ascii="Calibri" w:hAnsi="Calibri"/>
          <w:szCs w:val="22"/>
        </w:rPr>
        <w:t xml:space="preserve"> la commune nouvelle de Montauban-de-Bretagne, composée d’une commune A (Montauban-de-Bretagne) et d’une commune B (Saint-M’Hervon), le SDE35 a proposé un passage en commune C de la commune nouvelle. Ce statut intermédiaire permet</w:t>
      </w:r>
      <w:r>
        <w:rPr>
          <w:rFonts w:ascii="Calibri" w:hAnsi="Calibri"/>
          <w:szCs w:val="22"/>
        </w:rPr>
        <w:t>tant</w:t>
      </w:r>
      <w:r w:rsidR="00B8382B">
        <w:rPr>
          <w:rFonts w:ascii="Calibri" w:hAnsi="Calibri"/>
          <w:szCs w:val="22"/>
        </w:rPr>
        <w:t> :</w:t>
      </w:r>
    </w:p>
    <w:p w:rsidR="00B8382B" w:rsidRDefault="00B8382B" w:rsidP="00B8382B">
      <w:pPr>
        <w:pStyle w:val="Paragraphedeliste"/>
        <w:numPr>
          <w:ilvl w:val="0"/>
          <w:numId w:val="16"/>
        </w:numPr>
        <w:spacing w:line="240" w:lineRule="auto"/>
        <w:rPr>
          <w:rFonts w:ascii="Calibri" w:hAnsi="Calibri"/>
          <w:szCs w:val="22"/>
        </w:rPr>
      </w:pPr>
      <w:r>
        <w:rPr>
          <w:rFonts w:ascii="Calibri" w:hAnsi="Calibri"/>
          <w:szCs w:val="22"/>
        </w:rPr>
        <w:t>Une perception de la TCFE par le SDE35 et un reversement à 50 % à la commune,</w:t>
      </w:r>
    </w:p>
    <w:p w:rsidR="00B8382B" w:rsidRDefault="00B8382B" w:rsidP="00B8382B">
      <w:pPr>
        <w:pStyle w:val="Paragraphedeliste"/>
        <w:numPr>
          <w:ilvl w:val="0"/>
          <w:numId w:val="16"/>
        </w:numPr>
        <w:spacing w:line="240" w:lineRule="auto"/>
        <w:rPr>
          <w:rFonts w:ascii="Calibri" w:hAnsi="Calibri"/>
          <w:szCs w:val="22"/>
        </w:rPr>
      </w:pPr>
      <w:r>
        <w:rPr>
          <w:rFonts w:ascii="Calibri" w:hAnsi="Calibri"/>
          <w:szCs w:val="22"/>
        </w:rPr>
        <w:t>A la commune de bénéficier d’un régime d’aide proche de celui des communes rurales,</w:t>
      </w:r>
    </w:p>
    <w:p w:rsidR="00B8382B" w:rsidRDefault="00B8382B" w:rsidP="00B8382B">
      <w:pPr>
        <w:pStyle w:val="Paragraphedeliste"/>
        <w:numPr>
          <w:ilvl w:val="0"/>
          <w:numId w:val="16"/>
        </w:numPr>
        <w:spacing w:line="240" w:lineRule="auto"/>
        <w:rPr>
          <w:rFonts w:ascii="Calibri" w:hAnsi="Calibri"/>
          <w:szCs w:val="22"/>
        </w:rPr>
      </w:pPr>
      <w:r>
        <w:rPr>
          <w:rFonts w:ascii="Calibri" w:hAnsi="Calibri"/>
          <w:szCs w:val="22"/>
        </w:rPr>
        <w:t>A la commune de bénéficier d’un régime d’aide proche de celui des communes rurales,</w:t>
      </w:r>
    </w:p>
    <w:p w:rsidR="00B8382B" w:rsidRDefault="00B8382B" w:rsidP="00B8382B">
      <w:pPr>
        <w:pStyle w:val="Paragraphedeliste"/>
        <w:numPr>
          <w:ilvl w:val="0"/>
          <w:numId w:val="16"/>
        </w:numPr>
        <w:spacing w:line="240" w:lineRule="auto"/>
        <w:rPr>
          <w:rFonts w:ascii="Calibri" w:hAnsi="Calibri"/>
          <w:szCs w:val="22"/>
        </w:rPr>
      </w:pPr>
      <w:r>
        <w:rPr>
          <w:rFonts w:ascii="Calibri" w:hAnsi="Calibri"/>
          <w:szCs w:val="22"/>
        </w:rPr>
        <w:t xml:space="preserve">Aux habitants et aux entreprises de la commune de bénéficier des services du SDE35 pour le raccordement au réseau électrique, pour un coût moindre que celui proposé par </w:t>
      </w:r>
      <w:proofErr w:type="spellStart"/>
      <w:r>
        <w:rPr>
          <w:rFonts w:ascii="Calibri" w:hAnsi="Calibri"/>
          <w:szCs w:val="22"/>
        </w:rPr>
        <w:t>Enedis</w:t>
      </w:r>
      <w:proofErr w:type="spellEnd"/>
      <w:r>
        <w:rPr>
          <w:rFonts w:ascii="Calibri" w:hAnsi="Calibri"/>
          <w:szCs w:val="22"/>
        </w:rPr>
        <w:t>,</w:t>
      </w:r>
    </w:p>
    <w:p w:rsidR="00B8382B" w:rsidRDefault="00B8382B" w:rsidP="00B8382B">
      <w:pPr>
        <w:pStyle w:val="Paragraphedeliste"/>
        <w:numPr>
          <w:ilvl w:val="0"/>
          <w:numId w:val="16"/>
        </w:numPr>
        <w:spacing w:line="240" w:lineRule="auto"/>
        <w:rPr>
          <w:rFonts w:ascii="Calibri" w:hAnsi="Calibri"/>
          <w:szCs w:val="22"/>
        </w:rPr>
      </w:pPr>
      <w:r>
        <w:rPr>
          <w:rFonts w:ascii="Calibri" w:hAnsi="Calibri"/>
          <w:szCs w:val="22"/>
        </w:rPr>
        <w:t>Au SDE5 de consolider à l’échelle départementale les montants de perception de la TCFE afin de permettre la poursuite des actions engagées en matière de pérennité du réseau électrique et de transition énergétique, énergie renouvelable et mobilité bas-carbone, ainsi que leur mutualisation à l’échelle de l’Ille-et-Vilaine.</w:t>
      </w:r>
    </w:p>
    <w:p w:rsidR="00B8382B" w:rsidRDefault="00B8382B" w:rsidP="00B8382B">
      <w:pPr>
        <w:pStyle w:val="Paragraphedeliste"/>
        <w:spacing w:line="240" w:lineRule="auto"/>
        <w:rPr>
          <w:rFonts w:ascii="Calibri" w:hAnsi="Calibri"/>
          <w:szCs w:val="22"/>
        </w:rPr>
      </w:pPr>
    </w:p>
    <w:p w:rsidR="00B8382B" w:rsidRDefault="00B8382B" w:rsidP="00B8382B">
      <w:pPr>
        <w:pStyle w:val="Paragraphedeliste"/>
        <w:spacing w:line="240" w:lineRule="auto"/>
        <w:rPr>
          <w:rFonts w:ascii="Calibri" w:hAnsi="Calibri"/>
          <w:szCs w:val="22"/>
        </w:rPr>
      </w:pPr>
      <w:r>
        <w:rPr>
          <w:rFonts w:ascii="Calibri" w:hAnsi="Calibri"/>
          <w:szCs w:val="22"/>
        </w:rPr>
        <w:t>La commune nouvelle de Montauban-de-Bretagne a refusé cette proposition et a demandé son classement en catégorie A afin de percevoir intégralement la TCFE. La perte de TCFE perçue auparavant sur la commune de St M’</w:t>
      </w:r>
      <w:proofErr w:type="spellStart"/>
      <w:r>
        <w:rPr>
          <w:rFonts w:ascii="Calibri" w:hAnsi="Calibri"/>
          <w:szCs w:val="22"/>
        </w:rPr>
        <w:t>Hervon</w:t>
      </w:r>
      <w:proofErr w:type="spellEnd"/>
      <w:r>
        <w:rPr>
          <w:rFonts w:ascii="Calibri" w:hAnsi="Calibri"/>
          <w:szCs w:val="22"/>
        </w:rPr>
        <w:t xml:space="preserve"> représente 10 000 € / an.</w:t>
      </w:r>
    </w:p>
    <w:p w:rsidR="00B8382B" w:rsidRDefault="00B8382B" w:rsidP="00B8382B">
      <w:pPr>
        <w:rPr>
          <w:rFonts w:ascii="Calibri" w:hAnsi="Calibri"/>
          <w:szCs w:val="22"/>
        </w:rPr>
      </w:pPr>
    </w:p>
    <w:p w:rsidR="00B8382B" w:rsidRDefault="00E82761" w:rsidP="00B8382B">
      <w:pPr>
        <w:ind w:right="29"/>
        <w:rPr>
          <w:rFonts w:ascii="Calibri" w:hAnsi="Calibri"/>
          <w:szCs w:val="22"/>
        </w:rPr>
      </w:pPr>
      <w:r>
        <w:rPr>
          <w:rFonts w:ascii="Calibri" w:hAnsi="Calibri"/>
          <w:szCs w:val="22"/>
        </w:rPr>
        <w:t>Après délibération, le Comité syndical, à l’unanimité, prend acte d</w:t>
      </w:r>
      <w:r w:rsidR="00B8382B">
        <w:rPr>
          <w:rFonts w:ascii="Calibri" w:hAnsi="Calibri"/>
          <w:szCs w:val="22"/>
        </w:rPr>
        <w:t xml:space="preserve">es modalités de perception de </w:t>
      </w:r>
      <w:r w:rsidR="00FA01F6">
        <w:rPr>
          <w:rFonts w:ascii="Calibri" w:hAnsi="Calibri"/>
          <w:szCs w:val="22"/>
        </w:rPr>
        <w:t xml:space="preserve">la </w:t>
      </w:r>
      <w:r w:rsidR="00B8382B">
        <w:rPr>
          <w:rFonts w:ascii="Calibri" w:hAnsi="Calibri"/>
          <w:szCs w:val="22"/>
        </w:rPr>
        <w:t xml:space="preserve">TCFE suivantes : </w:t>
      </w:r>
    </w:p>
    <w:p w:rsidR="00B8382B" w:rsidRPr="00890400" w:rsidRDefault="00B8382B" w:rsidP="00B8382B">
      <w:pPr>
        <w:pStyle w:val="Paragraphedeliste"/>
        <w:numPr>
          <w:ilvl w:val="0"/>
          <w:numId w:val="13"/>
        </w:numPr>
        <w:spacing w:line="240" w:lineRule="auto"/>
        <w:ind w:right="29"/>
        <w:rPr>
          <w:szCs w:val="22"/>
        </w:rPr>
      </w:pPr>
      <w:r>
        <w:rPr>
          <w:szCs w:val="22"/>
        </w:rPr>
        <w:t xml:space="preserve">Perception de plein droit par le SDE35 : pour les communes de </w:t>
      </w:r>
      <w:proofErr w:type="spellStart"/>
      <w:r w:rsidRPr="00B16F12">
        <w:rPr>
          <w:rFonts w:ascii="Calibri" w:hAnsi="Calibri"/>
          <w:szCs w:val="22"/>
          <w:u w:val="single"/>
        </w:rPr>
        <w:t>Luitré</w:t>
      </w:r>
      <w:proofErr w:type="spellEnd"/>
      <w:r w:rsidRPr="00B16F12">
        <w:rPr>
          <w:rFonts w:ascii="Calibri" w:hAnsi="Calibri"/>
          <w:szCs w:val="22"/>
          <w:u w:val="single"/>
        </w:rPr>
        <w:t>-Dompierre et Saint-Marc-Le-Blanc</w:t>
      </w:r>
      <w:r>
        <w:rPr>
          <w:rFonts w:ascii="Calibri" w:hAnsi="Calibri"/>
          <w:szCs w:val="22"/>
          <w:u w:val="single"/>
        </w:rPr>
        <w:t>,</w:t>
      </w:r>
    </w:p>
    <w:p w:rsidR="00B8382B" w:rsidRPr="00890400" w:rsidRDefault="00B8382B" w:rsidP="00B8382B">
      <w:pPr>
        <w:pStyle w:val="Paragraphedeliste"/>
        <w:numPr>
          <w:ilvl w:val="0"/>
          <w:numId w:val="13"/>
        </w:numPr>
        <w:spacing w:line="240" w:lineRule="auto"/>
        <w:ind w:right="29"/>
        <w:rPr>
          <w:szCs w:val="22"/>
        </w:rPr>
      </w:pPr>
      <w:r w:rsidRPr="00890400">
        <w:rPr>
          <w:rFonts w:ascii="Calibri" w:hAnsi="Calibri"/>
          <w:szCs w:val="22"/>
        </w:rPr>
        <w:t xml:space="preserve">Perception par le SDE35 et classement en catégorie B pour les communes : </w:t>
      </w:r>
      <w:r w:rsidRPr="00C13B9A">
        <w:rPr>
          <w:rFonts w:ascii="Calibri" w:hAnsi="Calibri"/>
          <w:szCs w:val="22"/>
          <w:u w:val="single"/>
        </w:rPr>
        <w:t>Val-Couesnon</w:t>
      </w:r>
      <w:r>
        <w:rPr>
          <w:rFonts w:ascii="Calibri" w:hAnsi="Calibri"/>
          <w:szCs w:val="22"/>
          <w:u w:val="single"/>
        </w:rPr>
        <w:t xml:space="preserve">, </w:t>
      </w:r>
      <w:r>
        <w:rPr>
          <w:u w:val="single"/>
        </w:rPr>
        <w:t>Mesnil-</w:t>
      </w:r>
      <w:proofErr w:type="spellStart"/>
      <w:r>
        <w:rPr>
          <w:u w:val="single"/>
        </w:rPr>
        <w:t>Roc</w:t>
      </w:r>
      <w:r w:rsidRPr="00C13B9A">
        <w:rPr>
          <w:u w:val="single"/>
        </w:rPr>
        <w:t>’h</w:t>
      </w:r>
      <w:proofErr w:type="spellEnd"/>
      <w:r w:rsidRPr="00C13B9A">
        <w:rPr>
          <w:u w:val="single"/>
        </w:rPr>
        <w:t xml:space="preserve">, </w:t>
      </w:r>
      <w:proofErr w:type="spellStart"/>
      <w:r w:rsidRPr="00C13B9A">
        <w:rPr>
          <w:u w:val="single"/>
        </w:rPr>
        <w:t>Piré-Chancé</w:t>
      </w:r>
      <w:proofErr w:type="spellEnd"/>
      <w:r w:rsidRPr="00C13B9A">
        <w:rPr>
          <w:u w:val="single"/>
        </w:rPr>
        <w:t>, Rives-du-Couesnon</w:t>
      </w:r>
      <w:r>
        <w:rPr>
          <w:u w:val="single"/>
        </w:rPr>
        <w:t>,</w:t>
      </w:r>
    </w:p>
    <w:p w:rsidR="00B8382B" w:rsidRPr="00890400" w:rsidRDefault="00B8382B" w:rsidP="00B8382B">
      <w:pPr>
        <w:pStyle w:val="Paragraphedeliste"/>
        <w:numPr>
          <w:ilvl w:val="0"/>
          <w:numId w:val="13"/>
        </w:numPr>
        <w:spacing w:line="240" w:lineRule="auto"/>
        <w:ind w:right="29"/>
        <w:rPr>
          <w:szCs w:val="22"/>
        </w:rPr>
      </w:pPr>
      <w:r w:rsidRPr="00890400">
        <w:t>Perception par la nouvelle commune de</w:t>
      </w:r>
      <w:r w:rsidRPr="00FA01F6">
        <w:t xml:space="preserve"> </w:t>
      </w:r>
      <w:r w:rsidRPr="00C13B9A">
        <w:rPr>
          <w:u w:val="single"/>
        </w:rPr>
        <w:t>Montauban-de-Bretagne</w:t>
      </w:r>
      <w:r w:rsidRPr="00890400">
        <w:t>, ainsi classée en catégorie A.</w:t>
      </w:r>
    </w:p>
    <w:p w:rsidR="00B8382B" w:rsidRDefault="00B8382B" w:rsidP="00B8382B">
      <w:pPr>
        <w:ind w:left="426" w:hanging="426"/>
        <w:rPr>
          <w:rFonts w:ascii="Calibri" w:hAnsi="Calibri"/>
          <w:szCs w:val="22"/>
        </w:rPr>
      </w:pPr>
    </w:p>
    <w:p w:rsidR="00FA0BE3" w:rsidRDefault="00FA0BE3" w:rsidP="00BA304E">
      <w:pPr>
        <w:rPr>
          <w:lang w:eastAsia="en-US"/>
        </w:rPr>
      </w:pPr>
    </w:p>
    <w:p w:rsidR="00BA304E" w:rsidRDefault="00E82761" w:rsidP="00E82761">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E82761">
        <w:rPr>
          <w:rFonts w:ascii="Venacti Sb" w:hAnsi="Venacti Sb"/>
          <w:bCs/>
          <w:color w:val="FFFFFF"/>
          <w:sz w:val="26"/>
          <w:szCs w:val="26"/>
          <w:lang w:eastAsia="en-US"/>
        </w:rPr>
        <w:t>Modalités de perception de la Taxe sur la Consommation Finale d’Electricité pour les communes C depuis 2016</w:t>
      </w:r>
    </w:p>
    <w:p w:rsidR="00BA304E" w:rsidRDefault="00BA304E" w:rsidP="00BA304E">
      <w:pPr>
        <w:rPr>
          <w:lang w:eastAsia="en-US"/>
        </w:rPr>
      </w:pPr>
    </w:p>
    <w:p w:rsidR="00E82761" w:rsidRDefault="00E82761" w:rsidP="00E82761">
      <w:pPr>
        <w:pStyle w:val="Paragraphedeliste"/>
        <w:spacing w:line="240" w:lineRule="auto"/>
        <w:ind w:left="0"/>
        <w:rPr>
          <w:rFonts w:ascii="Calibri" w:hAnsi="Calibri"/>
          <w:szCs w:val="22"/>
        </w:rPr>
      </w:pPr>
      <w:r w:rsidRPr="00890400">
        <w:rPr>
          <w:rFonts w:ascii="Calibri" w:hAnsi="Calibri"/>
          <w:szCs w:val="22"/>
        </w:rPr>
        <w:t xml:space="preserve">L’arrêté préfectoral du 28 octobre 2014, a soustrait </w:t>
      </w:r>
      <w:r>
        <w:rPr>
          <w:rFonts w:ascii="Calibri" w:hAnsi="Calibri"/>
          <w:szCs w:val="22"/>
        </w:rPr>
        <w:t>9</w:t>
      </w:r>
      <w:r w:rsidRPr="00890400">
        <w:rPr>
          <w:rFonts w:ascii="Calibri" w:hAnsi="Calibri"/>
          <w:szCs w:val="22"/>
        </w:rPr>
        <w:t xml:space="preserve"> communes au bénéfic</w:t>
      </w:r>
      <w:r>
        <w:rPr>
          <w:rFonts w:ascii="Calibri" w:hAnsi="Calibri"/>
          <w:szCs w:val="22"/>
        </w:rPr>
        <w:t xml:space="preserve">e du régime des aides du FACE </w:t>
      </w:r>
      <w:r w:rsidRPr="00890400">
        <w:rPr>
          <w:rFonts w:ascii="Calibri" w:hAnsi="Calibri"/>
          <w:szCs w:val="22"/>
        </w:rPr>
        <w:t>l’électrification rurale</w:t>
      </w:r>
      <w:r>
        <w:rPr>
          <w:rFonts w:ascii="Calibri" w:hAnsi="Calibri"/>
          <w:szCs w:val="22"/>
        </w:rPr>
        <w:t xml:space="preserve"> (Bréal-Sous-Montfort, Chavagne, </w:t>
      </w:r>
      <w:proofErr w:type="spellStart"/>
      <w:r>
        <w:rPr>
          <w:rFonts w:ascii="Calibri" w:hAnsi="Calibri"/>
          <w:szCs w:val="22"/>
        </w:rPr>
        <w:t>Chevaigné</w:t>
      </w:r>
      <w:proofErr w:type="spellEnd"/>
      <w:r>
        <w:rPr>
          <w:rFonts w:ascii="Calibri" w:hAnsi="Calibri"/>
          <w:szCs w:val="22"/>
        </w:rPr>
        <w:t xml:space="preserve">, Domloup, Guipry, Messac, La </w:t>
      </w:r>
      <w:proofErr w:type="spellStart"/>
      <w:r>
        <w:rPr>
          <w:rFonts w:ascii="Calibri" w:hAnsi="Calibri"/>
          <w:szCs w:val="22"/>
        </w:rPr>
        <w:t>Mézière</w:t>
      </w:r>
      <w:proofErr w:type="spellEnd"/>
      <w:r>
        <w:rPr>
          <w:rFonts w:ascii="Calibri" w:hAnsi="Calibri"/>
          <w:szCs w:val="22"/>
        </w:rPr>
        <w:t xml:space="preserve"> et Montgermont et </w:t>
      </w:r>
      <w:proofErr w:type="spellStart"/>
      <w:r>
        <w:rPr>
          <w:rFonts w:ascii="Calibri" w:hAnsi="Calibri"/>
          <w:szCs w:val="22"/>
        </w:rPr>
        <w:t>Pont-Péan</w:t>
      </w:r>
      <w:proofErr w:type="spellEnd"/>
      <w:r>
        <w:rPr>
          <w:rFonts w:ascii="Calibri" w:hAnsi="Calibri"/>
          <w:szCs w:val="22"/>
        </w:rPr>
        <w:t>), ce qui leur donnait le droit de percevoir intégralement la TCFE.</w:t>
      </w:r>
    </w:p>
    <w:p w:rsidR="00E82761" w:rsidRDefault="00E82761" w:rsidP="00E82761">
      <w:pPr>
        <w:pStyle w:val="Paragraphedeliste"/>
        <w:spacing w:line="240" w:lineRule="auto"/>
        <w:ind w:left="0"/>
        <w:rPr>
          <w:rFonts w:ascii="Calibri" w:hAnsi="Calibri"/>
          <w:szCs w:val="22"/>
        </w:rPr>
      </w:pPr>
    </w:p>
    <w:p w:rsidR="00E82761" w:rsidRDefault="00E82761" w:rsidP="00E82761">
      <w:pPr>
        <w:pStyle w:val="Paragraphedeliste"/>
        <w:spacing w:line="240" w:lineRule="auto"/>
        <w:ind w:left="0"/>
        <w:rPr>
          <w:rFonts w:ascii="Calibri" w:hAnsi="Calibri"/>
          <w:szCs w:val="22"/>
        </w:rPr>
      </w:pPr>
      <w:r>
        <w:rPr>
          <w:rFonts w:ascii="Calibri" w:hAnsi="Calibri"/>
          <w:szCs w:val="22"/>
        </w:rPr>
        <w:t>Par ac</w:t>
      </w:r>
      <w:r w:rsidR="007D1C7B">
        <w:rPr>
          <w:rFonts w:ascii="Calibri" w:hAnsi="Calibri"/>
          <w:szCs w:val="22"/>
        </w:rPr>
        <w:t>c</w:t>
      </w:r>
      <w:r>
        <w:rPr>
          <w:rFonts w:ascii="Calibri" w:hAnsi="Calibri"/>
          <w:szCs w:val="22"/>
        </w:rPr>
        <w:t>ord local et délibérations concordantes, ces communes bénéficient depuis 2015 d’un statut intermédiaire, dit « C », qui permet :</w:t>
      </w:r>
    </w:p>
    <w:p w:rsidR="00E82761" w:rsidRDefault="00E82761" w:rsidP="00E82761">
      <w:pPr>
        <w:pStyle w:val="Paragraphedeliste"/>
        <w:numPr>
          <w:ilvl w:val="0"/>
          <w:numId w:val="19"/>
        </w:numPr>
        <w:spacing w:line="240" w:lineRule="auto"/>
        <w:rPr>
          <w:rFonts w:ascii="Calibri" w:hAnsi="Calibri"/>
          <w:szCs w:val="22"/>
        </w:rPr>
      </w:pPr>
      <w:r>
        <w:rPr>
          <w:rFonts w:ascii="Calibri" w:hAnsi="Calibri"/>
          <w:szCs w:val="22"/>
        </w:rPr>
        <w:t>Une perception de la TCFE par le SDE35 avec un reversement de 50 % du montant à la commune,</w:t>
      </w:r>
    </w:p>
    <w:p w:rsidR="00E82761" w:rsidRDefault="00E82761" w:rsidP="00E82761">
      <w:pPr>
        <w:pStyle w:val="Paragraphedeliste"/>
        <w:numPr>
          <w:ilvl w:val="0"/>
          <w:numId w:val="19"/>
        </w:numPr>
        <w:spacing w:line="240" w:lineRule="auto"/>
        <w:rPr>
          <w:rFonts w:ascii="Calibri" w:hAnsi="Calibri"/>
          <w:szCs w:val="22"/>
        </w:rPr>
      </w:pPr>
      <w:r>
        <w:rPr>
          <w:rFonts w:ascii="Calibri" w:hAnsi="Calibri"/>
          <w:szCs w:val="22"/>
        </w:rPr>
        <w:t>A la commune de bénéficier d’un régime d’aide proche de celui des communes rurales,</w:t>
      </w:r>
    </w:p>
    <w:p w:rsidR="00E82761" w:rsidRDefault="00E82761" w:rsidP="00E82761">
      <w:pPr>
        <w:pStyle w:val="Paragraphedeliste"/>
        <w:numPr>
          <w:ilvl w:val="0"/>
          <w:numId w:val="19"/>
        </w:numPr>
        <w:spacing w:line="240" w:lineRule="auto"/>
        <w:rPr>
          <w:rFonts w:ascii="Calibri" w:hAnsi="Calibri"/>
          <w:szCs w:val="22"/>
        </w:rPr>
      </w:pPr>
      <w:r>
        <w:rPr>
          <w:rFonts w:ascii="Calibri" w:hAnsi="Calibri"/>
          <w:szCs w:val="22"/>
        </w:rPr>
        <w:t xml:space="preserve">A la collectivité, aux habitants et aux entreprises de bénéficier des services du SDE35 pour le raccordement au réseau électrique, pour un coût moindre que celui proposé par </w:t>
      </w:r>
      <w:proofErr w:type="spellStart"/>
      <w:r>
        <w:rPr>
          <w:rFonts w:ascii="Calibri" w:hAnsi="Calibri"/>
          <w:szCs w:val="22"/>
        </w:rPr>
        <w:t>Enedis</w:t>
      </w:r>
      <w:proofErr w:type="spellEnd"/>
      <w:r>
        <w:rPr>
          <w:rFonts w:ascii="Calibri" w:hAnsi="Calibri"/>
          <w:szCs w:val="22"/>
        </w:rPr>
        <w:t>,</w:t>
      </w:r>
    </w:p>
    <w:p w:rsidR="00E82761" w:rsidRDefault="00E82761" w:rsidP="00E82761">
      <w:pPr>
        <w:pStyle w:val="Paragraphedeliste"/>
        <w:numPr>
          <w:ilvl w:val="0"/>
          <w:numId w:val="19"/>
        </w:numPr>
        <w:spacing w:line="240" w:lineRule="auto"/>
        <w:rPr>
          <w:rFonts w:ascii="Calibri" w:hAnsi="Calibri"/>
          <w:szCs w:val="22"/>
        </w:rPr>
      </w:pPr>
      <w:r>
        <w:rPr>
          <w:rFonts w:ascii="Calibri" w:hAnsi="Calibri"/>
          <w:szCs w:val="22"/>
        </w:rPr>
        <w:t>Au SDE35 de consolider à l’échelle départementale les montants de perception de la TCFE afin de permettre la poursuite des actions engagées en matière de pérennité du réseau électrique et de transition énergétique, énergie renouvelable et mobilité bas-carbone, ainsi que leur mutation à l’échelle de l’Ille-et-Vilaine.</w:t>
      </w:r>
    </w:p>
    <w:p w:rsidR="00E82761" w:rsidRDefault="00E82761" w:rsidP="00E82761">
      <w:pPr>
        <w:pStyle w:val="Paragraphedeliste"/>
        <w:spacing w:line="240" w:lineRule="auto"/>
        <w:ind w:left="0"/>
        <w:rPr>
          <w:rFonts w:ascii="Calibri" w:hAnsi="Calibri"/>
          <w:szCs w:val="22"/>
        </w:rPr>
      </w:pPr>
    </w:p>
    <w:p w:rsidR="00E82761" w:rsidRDefault="00E82761" w:rsidP="00E82761">
      <w:pPr>
        <w:pStyle w:val="Paragraphedeliste"/>
        <w:spacing w:line="240" w:lineRule="auto"/>
        <w:ind w:left="0"/>
        <w:rPr>
          <w:rFonts w:ascii="Calibri" w:hAnsi="Calibri"/>
          <w:szCs w:val="22"/>
        </w:rPr>
      </w:pPr>
      <w:r>
        <w:rPr>
          <w:rFonts w:ascii="Calibri" w:hAnsi="Calibri"/>
          <w:szCs w:val="22"/>
        </w:rPr>
        <w:t>Le syndicat s’était par ailleurs engagé à prendre les dispositions nécessaires pour permettre aux communes qui le souhaiteraient de percevoir 100 % de la TCFE à partir de 2020 et de devenir ainsi des communes urbaines de catégorie « A ». Cette évolution nécessite une délibération concordante entre le SDE35 et la commune à prendre avant le 1</w:t>
      </w:r>
      <w:r w:rsidRPr="00DC6B28">
        <w:rPr>
          <w:rFonts w:ascii="Calibri" w:hAnsi="Calibri"/>
          <w:szCs w:val="22"/>
          <w:vertAlign w:val="superscript"/>
        </w:rPr>
        <w:t>er</w:t>
      </w:r>
      <w:r>
        <w:rPr>
          <w:rFonts w:ascii="Calibri" w:hAnsi="Calibri"/>
          <w:szCs w:val="22"/>
        </w:rPr>
        <w:t xml:space="preserve"> octobre de l’année n-1 pour une application au 1</w:t>
      </w:r>
      <w:r w:rsidRPr="00DC6B28">
        <w:rPr>
          <w:rFonts w:ascii="Calibri" w:hAnsi="Calibri"/>
          <w:szCs w:val="22"/>
          <w:vertAlign w:val="superscript"/>
        </w:rPr>
        <w:t>er</w:t>
      </w:r>
      <w:r>
        <w:rPr>
          <w:rFonts w:ascii="Calibri" w:hAnsi="Calibri"/>
          <w:szCs w:val="22"/>
        </w:rPr>
        <w:t xml:space="preserve"> janvier de l’année n.</w:t>
      </w:r>
    </w:p>
    <w:p w:rsidR="00E82761" w:rsidRDefault="00E82761" w:rsidP="00E82761">
      <w:pPr>
        <w:pStyle w:val="Paragraphedeliste"/>
        <w:spacing w:line="240" w:lineRule="auto"/>
        <w:ind w:left="0"/>
        <w:rPr>
          <w:rFonts w:ascii="Calibri" w:hAnsi="Calibri"/>
          <w:szCs w:val="22"/>
        </w:rPr>
      </w:pPr>
      <w:r>
        <w:rPr>
          <w:rFonts w:ascii="Calibri" w:hAnsi="Calibri"/>
          <w:szCs w:val="22"/>
        </w:rPr>
        <w:t>Ces communes et le SDE35 ont échangé en 2015 au sujet des modalités de perception de la taxe et la répartition de la maîtrise d’ouvrage.</w:t>
      </w:r>
    </w:p>
    <w:p w:rsidR="00E82761" w:rsidRDefault="00E82761" w:rsidP="00E82761">
      <w:pPr>
        <w:pStyle w:val="Paragraphedeliste"/>
        <w:spacing w:line="240" w:lineRule="auto"/>
        <w:ind w:left="0"/>
        <w:rPr>
          <w:rFonts w:ascii="Calibri" w:hAnsi="Calibri"/>
          <w:szCs w:val="22"/>
        </w:rPr>
      </w:pPr>
      <w:r>
        <w:rPr>
          <w:rFonts w:ascii="Calibri" w:hAnsi="Calibri"/>
          <w:szCs w:val="22"/>
        </w:rPr>
        <w:lastRenderedPageBreak/>
        <w:t>Il a été alors convenu que le SDE35 reste bénéficiaire de cette taxe, en reversant la moitié de celle-ci à chaque commune chaque trimestre. Ces communes bénéficient ainsi d’un régime d’aides spécifiques (création d’une catégorie « C »), plus avantageux que celui des communes classées historiquement en régime urbain.</w:t>
      </w:r>
    </w:p>
    <w:p w:rsidR="00E82761" w:rsidRPr="00890400" w:rsidRDefault="00E82761" w:rsidP="00E82761">
      <w:pPr>
        <w:pStyle w:val="Paragraphedeliste"/>
        <w:spacing w:line="240" w:lineRule="auto"/>
        <w:ind w:left="0"/>
        <w:rPr>
          <w:rFonts w:ascii="Calibri" w:hAnsi="Calibri"/>
          <w:szCs w:val="22"/>
        </w:rPr>
      </w:pPr>
      <w:r>
        <w:rPr>
          <w:rFonts w:ascii="Calibri" w:hAnsi="Calibri"/>
          <w:szCs w:val="22"/>
        </w:rPr>
        <w:t>Le syndicat s’était par ailleurs engagé à prendre les dispositions nécessaires pour permettre, aux communes qui le souhaitent, de percevoir 100% de la TCFE à partir de 2020 et devenir ainsi des communes urbaines de catégorie  « A » après délibérations concordantes entre le SDE35 et la commune à prendre avant le 1</w:t>
      </w:r>
      <w:r w:rsidRPr="00A86904">
        <w:rPr>
          <w:rFonts w:ascii="Calibri" w:hAnsi="Calibri"/>
          <w:szCs w:val="22"/>
          <w:vertAlign w:val="superscript"/>
        </w:rPr>
        <w:t>er</w:t>
      </w:r>
      <w:r>
        <w:rPr>
          <w:rFonts w:ascii="Calibri" w:hAnsi="Calibri"/>
          <w:szCs w:val="22"/>
        </w:rPr>
        <w:t xml:space="preserve"> octobre 2019.</w:t>
      </w:r>
    </w:p>
    <w:p w:rsidR="00E82761" w:rsidRDefault="00E82761" w:rsidP="00E82761">
      <w:pPr>
        <w:pStyle w:val="Paragraphedeliste"/>
        <w:spacing w:line="240" w:lineRule="auto"/>
        <w:ind w:left="0"/>
        <w:rPr>
          <w:rFonts w:ascii="Calibri" w:hAnsi="Calibri"/>
          <w:szCs w:val="22"/>
        </w:rPr>
      </w:pPr>
    </w:p>
    <w:p w:rsidR="00E82761" w:rsidRDefault="00E82761" w:rsidP="00E82761">
      <w:pPr>
        <w:pStyle w:val="Paragraphedeliste"/>
        <w:spacing w:line="240" w:lineRule="auto"/>
        <w:ind w:left="0"/>
        <w:rPr>
          <w:rFonts w:ascii="Calibri" w:hAnsi="Calibri"/>
          <w:szCs w:val="22"/>
        </w:rPr>
      </w:pPr>
      <w:r>
        <w:rPr>
          <w:rFonts w:ascii="Calibri" w:hAnsi="Calibri"/>
          <w:szCs w:val="22"/>
        </w:rPr>
        <w:t>Sur proposition du bureau du SDE35, chacune de ces 8 communes a fait l’objet d’une rencontre durant laquelle lui ont été rappelées les deux modalités possibles de perception de la TCFE (commune ou SDE35) et les impacts financiers et techniques liés à ce choix :</w:t>
      </w:r>
    </w:p>
    <w:p w:rsidR="00E82761" w:rsidRDefault="00E82761" w:rsidP="00E82761">
      <w:pPr>
        <w:pStyle w:val="Paragraphedeliste"/>
        <w:numPr>
          <w:ilvl w:val="0"/>
          <w:numId w:val="20"/>
        </w:numPr>
        <w:spacing w:line="240" w:lineRule="auto"/>
        <w:rPr>
          <w:rFonts w:ascii="Calibri" w:hAnsi="Calibri"/>
          <w:szCs w:val="22"/>
        </w:rPr>
      </w:pPr>
      <w:r>
        <w:rPr>
          <w:rFonts w:ascii="Calibri" w:hAnsi="Calibri"/>
          <w:szCs w:val="22"/>
        </w:rPr>
        <w:t>Modalités de perception de la taxe y compris les prérogatives de contrôle en découlant,</w:t>
      </w:r>
    </w:p>
    <w:p w:rsidR="00E82761" w:rsidRDefault="00E82761" w:rsidP="00E82761">
      <w:pPr>
        <w:pStyle w:val="Paragraphedeliste"/>
        <w:numPr>
          <w:ilvl w:val="0"/>
          <w:numId w:val="20"/>
        </w:numPr>
        <w:spacing w:line="240" w:lineRule="auto"/>
        <w:rPr>
          <w:rFonts w:ascii="Calibri" w:hAnsi="Calibri"/>
          <w:szCs w:val="22"/>
        </w:rPr>
      </w:pPr>
      <w:r>
        <w:rPr>
          <w:rFonts w:ascii="Calibri" w:hAnsi="Calibri"/>
          <w:szCs w:val="22"/>
        </w:rPr>
        <w:t xml:space="preserve">Répartition différente de la maîtrise d’ouvrage sur le réseau électrique entre </w:t>
      </w:r>
      <w:proofErr w:type="spellStart"/>
      <w:r>
        <w:rPr>
          <w:rFonts w:ascii="Calibri" w:hAnsi="Calibri"/>
          <w:szCs w:val="22"/>
        </w:rPr>
        <w:t>Enedis</w:t>
      </w:r>
      <w:proofErr w:type="spellEnd"/>
      <w:r>
        <w:rPr>
          <w:rFonts w:ascii="Calibri" w:hAnsi="Calibri"/>
          <w:szCs w:val="22"/>
        </w:rPr>
        <w:t xml:space="preserve"> et le SDE35,</w:t>
      </w:r>
    </w:p>
    <w:p w:rsidR="00E82761" w:rsidRDefault="00E82761" w:rsidP="00E82761">
      <w:pPr>
        <w:pStyle w:val="Paragraphedeliste"/>
        <w:numPr>
          <w:ilvl w:val="0"/>
          <w:numId w:val="20"/>
        </w:numPr>
        <w:spacing w:line="240" w:lineRule="auto"/>
        <w:rPr>
          <w:rFonts w:ascii="Calibri" w:hAnsi="Calibri"/>
          <w:szCs w:val="22"/>
        </w:rPr>
      </w:pPr>
      <w:r>
        <w:rPr>
          <w:rFonts w:ascii="Calibri" w:hAnsi="Calibri"/>
          <w:szCs w:val="22"/>
        </w:rPr>
        <w:t>Régime d’aides financières du SDE35 différencié entre les communes de catégorie « C » et «  A »,</w:t>
      </w:r>
    </w:p>
    <w:p w:rsidR="00E82761" w:rsidRDefault="00E82761" w:rsidP="00E82761">
      <w:pPr>
        <w:pStyle w:val="Paragraphedeliste"/>
        <w:numPr>
          <w:ilvl w:val="0"/>
          <w:numId w:val="20"/>
        </w:numPr>
        <w:spacing w:line="240" w:lineRule="auto"/>
        <w:rPr>
          <w:rFonts w:ascii="Calibri" w:hAnsi="Calibri"/>
          <w:szCs w:val="22"/>
        </w:rPr>
      </w:pPr>
      <w:r>
        <w:rPr>
          <w:rFonts w:ascii="Calibri" w:hAnsi="Calibri"/>
          <w:szCs w:val="22"/>
        </w:rPr>
        <w:t>Bilan 2015/2018 des travaux menés sur chacune des communes et des montants pris en charge par le SDE35,</w:t>
      </w:r>
    </w:p>
    <w:p w:rsidR="00E82761" w:rsidRDefault="00E82761" w:rsidP="00E82761">
      <w:pPr>
        <w:pStyle w:val="Paragraphedeliste"/>
        <w:numPr>
          <w:ilvl w:val="0"/>
          <w:numId w:val="20"/>
        </w:numPr>
        <w:spacing w:line="240" w:lineRule="auto"/>
        <w:rPr>
          <w:rFonts w:ascii="Calibri" w:hAnsi="Calibri"/>
          <w:szCs w:val="22"/>
        </w:rPr>
      </w:pPr>
      <w:r>
        <w:rPr>
          <w:rFonts w:ascii="Calibri" w:hAnsi="Calibri"/>
          <w:szCs w:val="22"/>
        </w:rPr>
        <w:t>(si commune concernée) : Montants engagés pour la maintenance curative et préventive de l’éclairage public, et le montant des contributions du SDE35,</w:t>
      </w:r>
    </w:p>
    <w:p w:rsidR="00E82761" w:rsidRDefault="00E82761" w:rsidP="00E82761">
      <w:pPr>
        <w:pStyle w:val="Paragraphedeliste"/>
        <w:spacing w:line="240" w:lineRule="auto"/>
        <w:ind w:left="0"/>
        <w:rPr>
          <w:rFonts w:ascii="Calibri" w:hAnsi="Calibri"/>
          <w:szCs w:val="22"/>
        </w:rPr>
      </w:pPr>
    </w:p>
    <w:p w:rsidR="00E82761" w:rsidRDefault="00E82761" w:rsidP="00E82761">
      <w:pPr>
        <w:pStyle w:val="Paragraphedeliste"/>
        <w:spacing w:line="240" w:lineRule="auto"/>
        <w:ind w:left="0"/>
        <w:rPr>
          <w:rFonts w:ascii="Calibri" w:hAnsi="Calibri"/>
          <w:szCs w:val="22"/>
        </w:rPr>
      </w:pPr>
      <w:r>
        <w:rPr>
          <w:rFonts w:ascii="Calibri" w:hAnsi="Calibri"/>
          <w:szCs w:val="22"/>
        </w:rPr>
        <w:t>Les montants de taxe perçus par le SDE35 sur la commune et la part reversée à la commune depuis 2016</w:t>
      </w:r>
    </w:p>
    <w:p w:rsidR="00E82761" w:rsidRDefault="00E82761" w:rsidP="00E82761">
      <w:pPr>
        <w:pStyle w:val="Paragraphedeliste"/>
        <w:spacing w:line="240" w:lineRule="auto"/>
        <w:ind w:left="0"/>
        <w:rPr>
          <w:rFonts w:ascii="Calibri" w:hAnsi="Calibri"/>
          <w:szCs w:val="22"/>
        </w:rPr>
      </w:pPr>
      <w:r>
        <w:rPr>
          <w:rFonts w:ascii="Calibri" w:hAnsi="Calibri"/>
          <w:szCs w:val="22"/>
        </w:rPr>
        <w:t xml:space="preserve">Aussi chacune de ces 8 communes  a été rencontrée au cours de l’été 2019 afin de leur présenter : </w:t>
      </w:r>
    </w:p>
    <w:p w:rsidR="00E82761" w:rsidRDefault="00E82761" w:rsidP="00E82761">
      <w:pPr>
        <w:pStyle w:val="Corpsdetexte"/>
        <w:numPr>
          <w:ilvl w:val="0"/>
          <w:numId w:val="17"/>
        </w:numPr>
        <w:rPr>
          <w:rFonts w:ascii="Calibri" w:hAnsi="Calibri"/>
          <w:szCs w:val="22"/>
        </w:rPr>
      </w:pPr>
      <w:r>
        <w:rPr>
          <w:rFonts w:ascii="Calibri" w:hAnsi="Calibri"/>
          <w:szCs w:val="22"/>
        </w:rPr>
        <w:t>Les modalités de perception de la taxe y compris les prérogatives de contrôle en découlant</w:t>
      </w:r>
    </w:p>
    <w:p w:rsidR="00E82761" w:rsidRPr="00A86904" w:rsidRDefault="00E82761" w:rsidP="00E82761">
      <w:pPr>
        <w:pStyle w:val="Corpsdetexte"/>
        <w:numPr>
          <w:ilvl w:val="0"/>
          <w:numId w:val="17"/>
        </w:numPr>
        <w:rPr>
          <w:rFonts w:ascii="Calibri" w:hAnsi="Calibri"/>
          <w:szCs w:val="22"/>
        </w:rPr>
      </w:pPr>
      <w:r w:rsidRPr="00A86904">
        <w:rPr>
          <w:rFonts w:ascii="Calibri" w:hAnsi="Calibri"/>
          <w:szCs w:val="22"/>
        </w:rPr>
        <w:t>La différenciation de l’intervention financière du SDE35 entre les communes de catégorie « C » (régime intermédiaire, reversement de 50 % de la TCFE à la commune) et les communes de catégorie  « A » (régime urbain, perception à 100 % de la TCFE par la commune)</w:t>
      </w:r>
    </w:p>
    <w:p w:rsidR="00E82761" w:rsidRPr="00A86904" w:rsidRDefault="00E82761" w:rsidP="00E82761">
      <w:pPr>
        <w:pStyle w:val="Corpsdetexte"/>
        <w:rPr>
          <w:rFonts w:ascii="Calibri" w:hAnsi="Calibri"/>
          <w:szCs w:val="22"/>
        </w:rPr>
      </w:pPr>
    </w:p>
    <w:p w:rsidR="00E82761" w:rsidRPr="00A86904" w:rsidRDefault="00E82761" w:rsidP="00E82761">
      <w:pPr>
        <w:pStyle w:val="Corpsdetexte"/>
        <w:numPr>
          <w:ilvl w:val="0"/>
          <w:numId w:val="17"/>
        </w:numPr>
        <w:rPr>
          <w:rFonts w:ascii="Calibri" w:hAnsi="Calibri"/>
          <w:szCs w:val="22"/>
        </w:rPr>
      </w:pPr>
      <w:r w:rsidRPr="00A86904">
        <w:rPr>
          <w:rFonts w:ascii="Calibri" w:hAnsi="Calibri"/>
          <w:szCs w:val="22"/>
        </w:rPr>
        <w:t xml:space="preserve">Le bilan technique et financier 2015 -2018 des actions menées par le SDE35 sur le territoire communal dans le cadre de son classement en catégorie « C » : </w:t>
      </w:r>
    </w:p>
    <w:p w:rsidR="00E82761" w:rsidRPr="00A86904" w:rsidRDefault="00E82761" w:rsidP="00E82761">
      <w:pPr>
        <w:pStyle w:val="Corpsdetexte"/>
        <w:numPr>
          <w:ilvl w:val="0"/>
          <w:numId w:val="18"/>
        </w:numPr>
        <w:rPr>
          <w:rFonts w:ascii="Calibri" w:hAnsi="Calibri"/>
          <w:szCs w:val="22"/>
        </w:rPr>
      </w:pPr>
      <w:r w:rsidRPr="00A86904">
        <w:rPr>
          <w:rFonts w:ascii="Calibri" w:hAnsi="Calibri"/>
          <w:szCs w:val="22"/>
        </w:rPr>
        <w:t>les montants de travaux engagés entre 2015 et 2019 sur les réseaux électriques et d’éclairage public, et le montant des contributions du SDE35</w:t>
      </w:r>
    </w:p>
    <w:p w:rsidR="00E82761" w:rsidRPr="00A86904" w:rsidRDefault="00E82761" w:rsidP="00E82761">
      <w:pPr>
        <w:pStyle w:val="Corpsdetexte"/>
        <w:numPr>
          <w:ilvl w:val="0"/>
          <w:numId w:val="18"/>
        </w:numPr>
        <w:rPr>
          <w:rFonts w:ascii="Calibri" w:hAnsi="Calibri"/>
          <w:szCs w:val="22"/>
        </w:rPr>
      </w:pPr>
      <w:r w:rsidRPr="00A86904">
        <w:rPr>
          <w:rFonts w:ascii="Calibri" w:hAnsi="Calibri"/>
          <w:szCs w:val="22"/>
        </w:rPr>
        <w:t>(si commune concernée) : les montants engagés pour la maintenance curative et préventive de l’éclairage public, et le montant des contributions du SDE35</w:t>
      </w:r>
    </w:p>
    <w:p w:rsidR="00E82761" w:rsidRPr="00A86904" w:rsidRDefault="00E82761" w:rsidP="00E82761">
      <w:pPr>
        <w:pStyle w:val="Corpsdetexte"/>
        <w:numPr>
          <w:ilvl w:val="0"/>
          <w:numId w:val="18"/>
        </w:numPr>
        <w:rPr>
          <w:rFonts w:ascii="Calibri" w:hAnsi="Calibri"/>
          <w:szCs w:val="22"/>
        </w:rPr>
      </w:pPr>
      <w:r w:rsidRPr="00A86904">
        <w:rPr>
          <w:rFonts w:ascii="Calibri" w:hAnsi="Calibri"/>
          <w:szCs w:val="22"/>
        </w:rPr>
        <w:t>les montants de taxe perçus par le SDE35 sur la commune et la part reversée à la commune depuis 2016</w:t>
      </w:r>
    </w:p>
    <w:p w:rsidR="00E82761" w:rsidRDefault="00E82761" w:rsidP="00E82761">
      <w:pPr>
        <w:pStyle w:val="Corpsdetexte"/>
        <w:numPr>
          <w:ilvl w:val="0"/>
          <w:numId w:val="17"/>
        </w:numPr>
        <w:rPr>
          <w:rFonts w:ascii="Calibri" w:hAnsi="Calibri"/>
          <w:szCs w:val="22"/>
        </w:rPr>
      </w:pPr>
      <w:r w:rsidRPr="00A86904">
        <w:rPr>
          <w:rFonts w:ascii="Calibri" w:hAnsi="Calibri"/>
          <w:szCs w:val="22"/>
        </w:rPr>
        <w:t>L’importance pour le SDE35 de consolider à l’échelle départementale les montants de perception de la TCFE afin de permettre la poursuite des actions engagées en matière de pérennité du réseau électrique et de transition énergétique (énergie renouvelable et mobilité bas-carbone) ainsi que leur mutu</w:t>
      </w:r>
      <w:r>
        <w:rPr>
          <w:rFonts w:ascii="Calibri" w:hAnsi="Calibri"/>
          <w:szCs w:val="22"/>
        </w:rPr>
        <w:t>alisation à l’échelle de l’Ille-et-</w:t>
      </w:r>
      <w:r w:rsidRPr="00A86904">
        <w:rPr>
          <w:rFonts w:ascii="Calibri" w:hAnsi="Calibri"/>
          <w:szCs w:val="22"/>
        </w:rPr>
        <w:t>Vilaine.</w:t>
      </w:r>
    </w:p>
    <w:p w:rsidR="00E82761" w:rsidRDefault="00E82761" w:rsidP="00E82761">
      <w:pPr>
        <w:pStyle w:val="Corpsdetexte"/>
        <w:rPr>
          <w:rFonts w:ascii="Calibri" w:hAnsi="Calibri"/>
          <w:szCs w:val="22"/>
        </w:rPr>
      </w:pPr>
    </w:p>
    <w:p w:rsidR="00E82761" w:rsidRDefault="00E82761" w:rsidP="00E82761">
      <w:pPr>
        <w:pStyle w:val="Corpsdetexte"/>
        <w:rPr>
          <w:rFonts w:ascii="Calibri" w:hAnsi="Calibri"/>
          <w:szCs w:val="22"/>
        </w:rPr>
      </w:pPr>
      <w:r>
        <w:rPr>
          <w:rFonts w:ascii="Calibri" w:hAnsi="Calibri"/>
          <w:szCs w:val="22"/>
        </w:rPr>
        <w:t>Au vu des bilans présentés, qui montrent que les montants investis sur les communes ont été égaux ou supérieurs aux montants perçus au titre de la TCFE, tout en permettant une mutualisation départementale, le SDE35 a proposé aux communes le maintien du classement en catégorie « C ».</w:t>
      </w:r>
    </w:p>
    <w:p w:rsidR="00E82761" w:rsidRDefault="00E82761" w:rsidP="00E82761">
      <w:pPr>
        <w:pStyle w:val="Corpsdetexte"/>
        <w:rPr>
          <w:rFonts w:ascii="Calibri" w:hAnsi="Calibri"/>
          <w:szCs w:val="22"/>
        </w:rPr>
      </w:pPr>
    </w:p>
    <w:p w:rsidR="00E82761" w:rsidRDefault="00E82761" w:rsidP="00E82761">
      <w:pPr>
        <w:pStyle w:val="Corpsdetexte"/>
        <w:rPr>
          <w:rFonts w:ascii="Calibri" w:hAnsi="Calibri"/>
          <w:szCs w:val="22"/>
        </w:rPr>
      </w:pPr>
      <w:r>
        <w:rPr>
          <w:rFonts w:ascii="Calibri" w:hAnsi="Calibri"/>
          <w:szCs w:val="22"/>
        </w:rPr>
        <w:t>Durant les entretiens, les Maires rencontrés ont tous fait part de leur regret que les communes urbaines de catégorie « A » ne contribuent pas financièrement au fonctionnement du SDE35, et que l’effort de solidarité et de mutualisation ne soit demandé qu’aux communes nouvellement classées comme urbaines.</w:t>
      </w:r>
    </w:p>
    <w:p w:rsidR="00E82761" w:rsidRDefault="00E82761" w:rsidP="00E82761">
      <w:pPr>
        <w:pStyle w:val="Corpsdetexte"/>
        <w:rPr>
          <w:rFonts w:ascii="Calibri" w:hAnsi="Calibri"/>
          <w:szCs w:val="22"/>
        </w:rPr>
      </w:pPr>
    </w:p>
    <w:p w:rsidR="00E82761" w:rsidRDefault="00E82761" w:rsidP="00E82761">
      <w:pPr>
        <w:pStyle w:val="Corpsdetexte"/>
        <w:rPr>
          <w:rFonts w:ascii="Calibri" w:hAnsi="Calibri"/>
          <w:szCs w:val="22"/>
        </w:rPr>
      </w:pPr>
      <w:r>
        <w:rPr>
          <w:rFonts w:ascii="Calibri" w:hAnsi="Calibri"/>
          <w:szCs w:val="22"/>
        </w:rPr>
        <w:t>Le positionnement des communes concernées est le suivant :</w:t>
      </w:r>
    </w:p>
    <w:p w:rsidR="00E82761" w:rsidRDefault="00E82761" w:rsidP="00E82761">
      <w:pPr>
        <w:pStyle w:val="Corpsdetexte"/>
        <w:ind w:left="720"/>
        <w:rPr>
          <w:rFonts w:ascii="Calibri" w:hAnsi="Calibri"/>
          <w:szCs w:val="22"/>
        </w:rPr>
      </w:pPr>
    </w:p>
    <w:p w:rsidR="00E82761" w:rsidRDefault="00E82761" w:rsidP="00E82761">
      <w:pPr>
        <w:pStyle w:val="Corpsdetexte"/>
        <w:ind w:left="720" w:hanging="720"/>
        <w:rPr>
          <w:rFonts w:ascii="Calibri" w:hAnsi="Calibri"/>
          <w:szCs w:val="22"/>
        </w:rPr>
      </w:pPr>
      <w:r>
        <w:rPr>
          <w:rFonts w:ascii="Calibri" w:hAnsi="Calibri"/>
          <w:szCs w:val="22"/>
        </w:rPr>
        <w:t>Maintien en catégorie « C » :</w:t>
      </w:r>
    </w:p>
    <w:p w:rsidR="00E82761" w:rsidRDefault="00E82761" w:rsidP="00E82761">
      <w:pPr>
        <w:pStyle w:val="Corpsdetexte"/>
        <w:numPr>
          <w:ilvl w:val="0"/>
          <w:numId w:val="21"/>
        </w:numPr>
        <w:rPr>
          <w:rFonts w:ascii="Calibri" w:hAnsi="Calibri"/>
          <w:szCs w:val="22"/>
        </w:rPr>
      </w:pPr>
      <w:r>
        <w:rPr>
          <w:rFonts w:ascii="Calibri" w:hAnsi="Calibri"/>
          <w:szCs w:val="22"/>
        </w:rPr>
        <w:t>Commune de Bréal-sous-Montfort</w:t>
      </w:r>
    </w:p>
    <w:p w:rsidR="00E82761" w:rsidRPr="00E82761" w:rsidRDefault="00E82761" w:rsidP="00E82761">
      <w:pPr>
        <w:pStyle w:val="Corpsdetexte"/>
        <w:numPr>
          <w:ilvl w:val="0"/>
          <w:numId w:val="21"/>
        </w:numPr>
        <w:rPr>
          <w:rFonts w:ascii="Calibri" w:hAnsi="Calibri"/>
          <w:szCs w:val="22"/>
        </w:rPr>
      </w:pPr>
      <w:r w:rsidRPr="00E82761">
        <w:rPr>
          <w:rFonts w:ascii="Calibri" w:hAnsi="Calibri"/>
          <w:szCs w:val="22"/>
        </w:rPr>
        <w:lastRenderedPageBreak/>
        <w:t>Commune de Chavagne</w:t>
      </w:r>
    </w:p>
    <w:p w:rsidR="00E82761" w:rsidRPr="00E82761" w:rsidRDefault="00E82761" w:rsidP="00E82761">
      <w:pPr>
        <w:pStyle w:val="Corpsdetexte"/>
        <w:numPr>
          <w:ilvl w:val="0"/>
          <w:numId w:val="21"/>
        </w:numPr>
        <w:rPr>
          <w:rFonts w:ascii="Calibri" w:hAnsi="Calibri"/>
          <w:szCs w:val="22"/>
        </w:rPr>
      </w:pPr>
      <w:r w:rsidRPr="00E82761">
        <w:rPr>
          <w:rFonts w:ascii="Calibri" w:hAnsi="Calibri"/>
          <w:szCs w:val="22"/>
        </w:rPr>
        <w:t>Commune de Domloup</w:t>
      </w:r>
    </w:p>
    <w:p w:rsidR="00E82761" w:rsidRDefault="00E82761" w:rsidP="00E82761">
      <w:pPr>
        <w:pStyle w:val="Corpsdetexte"/>
        <w:rPr>
          <w:rFonts w:ascii="Calibri" w:hAnsi="Calibri"/>
          <w:szCs w:val="22"/>
        </w:rPr>
      </w:pPr>
    </w:p>
    <w:p w:rsidR="00E82761" w:rsidRDefault="00E82761" w:rsidP="00E82761">
      <w:pPr>
        <w:pStyle w:val="Corpsdetexte"/>
        <w:rPr>
          <w:rFonts w:ascii="Calibri" w:hAnsi="Calibri"/>
          <w:szCs w:val="22"/>
        </w:rPr>
      </w:pPr>
      <w:r>
        <w:rPr>
          <w:rFonts w:ascii="Calibri" w:hAnsi="Calibri"/>
          <w:szCs w:val="22"/>
        </w:rPr>
        <w:t>Passage en catégorie « A » :</w:t>
      </w:r>
    </w:p>
    <w:p w:rsidR="00E82761" w:rsidRPr="00E82761" w:rsidRDefault="00E82761" w:rsidP="00E82761">
      <w:pPr>
        <w:pStyle w:val="Corpsdetexte"/>
        <w:numPr>
          <w:ilvl w:val="0"/>
          <w:numId w:val="22"/>
        </w:numPr>
        <w:rPr>
          <w:rFonts w:ascii="Calibri" w:hAnsi="Calibri"/>
          <w:szCs w:val="22"/>
        </w:rPr>
      </w:pPr>
      <w:r w:rsidRPr="00E82761">
        <w:rPr>
          <w:rFonts w:ascii="Calibri" w:hAnsi="Calibri"/>
          <w:szCs w:val="22"/>
        </w:rPr>
        <w:t>Commune de Montgermont</w:t>
      </w:r>
    </w:p>
    <w:p w:rsidR="00E82761" w:rsidRPr="00E82761" w:rsidRDefault="00E82761" w:rsidP="00E82761">
      <w:pPr>
        <w:pStyle w:val="Corpsdetexte"/>
        <w:numPr>
          <w:ilvl w:val="0"/>
          <w:numId w:val="22"/>
        </w:numPr>
        <w:rPr>
          <w:rFonts w:ascii="Calibri" w:hAnsi="Calibri"/>
          <w:szCs w:val="22"/>
        </w:rPr>
      </w:pPr>
      <w:r w:rsidRPr="00E82761">
        <w:rPr>
          <w:rFonts w:ascii="Calibri" w:hAnsi="Calibri"/>
          <w:szCs w:val="22"/>
        </w:rPr>
        <w:t>Commune de La Mézières</w:t>
      </w:r>
    </w:p>
    <w:p w:rsidR="00E82761" w:rsidRPr="00E82761" w:rsidRDefault="00E82761" w:rsidP="00E82761">
      <w:pPr>
        <w:pStyle w:val="Corpsdetexte"/>
        <w:numPr>
          <w:ilvl w:val="0"/>
          <w:numId w:val="22"/>
        </w:numPr>
        <w:rPr>
          <w:rFonts w:ascii="Calibri" w:hAnsi="Calibri"/>
          <w:szCs w:val="22"/>
        </w:rPr>
      </w:pPr>
      <w:r w:rsidRPr="00E82761">
        <w:rPr>
          <w:rFonts w:ascii="Calibri" w:hAnsi="Calibri"/>
          <w:szCs w:val="22"/>
        </w:rPr>
        <w:t xml:space="preserve">Commune de Chevaigne </w:t>
      </w:r>
    </w:p>
    <w:p w:rsidR="00E82761" w:rsidRDefault="00E82761" w:rsidP="00E82761">
      <w:pPr>
        <w:pStyle w:val="Corpsdetexte"/>
        <w:rPr>
          <w:rFonts w:ascii="Calibri" w:hAnsi="Calibri"/>
          <w:szCs w:val="22"/>
        </w:rPr>
      </w:pPr>
    </w:p>
    <w:p w:rsidR="00E82761" w:rsidRDefault="00E82761" w:rsidP="00E82761">
      <w:pPr>
        <w:pStyle w:val="Corpsdetexte"/>
        <w:rPr>
          <w:rFonts w:ascii="Calibri" w:hAnsi="Calibri"/>
          <w:szCs w:val="22"/>
        </w:rPr>
      </w:pPr>
      <w:r>
        <w:rPr>
          <w:rFonts w:ascii="Calibri" w:hAnsi="Calibri"/>
          <w:szCs w:val="22"/>
        </w:rPr>
        <w:t>Décision ultérieure, impliquant de fait un maintien en catégorie « C » pour l’année 2020 :</w:t>
      </w:r>
    </w:p>
    <w:p w:rsidR="00E82761" w:rsidRDefault="00E919E8" w:rsidP="00E82761">
      <w:pPr>
        <w:pStyle w:val="Corpsdetexte"/>
        <w:numPr>
          <w:ilvl w:val="0"/>
          <w:numId w:val="21"/>
        </w:numPr>
        <w:rPr>
          <w:rFonts w:ascii="Calibri" w:hAnsi="Calibri"/>
          <w:szCs w:val="22"/>
        </w:rPr>
      </w:pPr>
      <w:r>
        <w:rPr>
          <w:rFonts w:ascii="Calibri" w:hAnsi="Calibri"/>
          <w:szCs w:val="22"/>
        </w:rPr>
        <w:t>Commune de Pont-Péan</w:t>
      </w:r>
    </w:p>
    <w:p w:rsidR="00E919E8" w:rsidRPr="00B854B7" w:rsidRDefault="00E919E8" w:rsidP="00E82761">
      <w:pPr>
        <w:pStyle w:val="Corpsdetexte"/>
        <w:numPr>
          <w:ilvl w:val="0"/>
          <w:numId w:val="21"/>
        </w:numPr>
        <w:rPr>
          <w:rFonts w:ascii="Calibri" w:hAnsi="Calibri"/>
          <w:color w:val="8064A2" w:themeColor="accent4"/>
          <w:szCs w:val="22"/>
        </w:rPr>
      </w:pPr>
      <w:r w:rsidRPr="00B854B7">
        <w:rPr>
          <w:rFonts w:ascii="Calibri" w:hAnsi="Calibri"/>
          <w:color w:val="8064A2" w:themeColor="accent4"/>
          <w:szCs w:val="22"/>
        </w:rPr>
        <w:t>Commune de Guipry-Messac</w:t>
      </w:r>
    </w:p>
    <w:p w:rsidR="00E82761" w:rsidRPr="00E919E8" w:rsidRDefault="00E82761" w:rsidP="00E82761">
      <w:pPr>
        <w:pStyle w:val="Corpsdetexte"/>
        <w:rPr>
          <w:rFonts w:ascii="Calibri" w:hAnsi="Calibri"/>
          <w:szCs w:val="22"/>
        </w:rPr>
      </w:pPr>
    </w:p>
    <w:p w:rsidR="00E82761" w:rsidRPr="00E919E8" w:rsidRDefault="00E82761" w:rsidP="00E82761">
      <w:pPr>
        <w:pStyle w:val="Corpsdetexte"/>
        <w:rPr>
          <w:rFonts w:ascii="Calibri" w:hAnsi="Calibri"/>
          <w:szCs w:val="22"/>
        </w:rPr>
      </w:pPr>
      <w:r w:rsidRPr="00E919E8">
        <w:rPr>
          <w:rFonts w:ascii="Calibri" w:hAnsi="Calibri"/>
          <w:szCs w:val="22"/>
        </w:rPr>
        <w:t xml:space="preserve">Par délibération du 16 septembre 2019, la Commune de Guipry Messac </w:t>
      </w:r>
      <w:r w:rsidR="00FA01F6" w:rsidRPr="00E919E8">
        <w:rPr>
          <w:rFonts w:ascii="Calibri" w:hAnsi="Calibri"/>
          <w:szCs w:val="22"/>
        </w:rPr>
        <w:t xml:space="preserve">a </w:t>
      </w:r>
      <w:r w:rsidR="00E919E8" w:rsidRPr="00E919E8">
        <w:rPr>
          <w:rFonts w:ascii="Calibri" w:hAnsi="Calibri"/>
          <w:szCs w:val="22"/>
        </w:rPr>
        <w:t xml:space="preserve">en effet </w:t>
      </w:r>
      <w:r w:rsidR="00FA01F6" w:rsidRPr="00E919E8">
        <w:rPr>
          <w:rFonts w:ascii="Calibri" w:hAnsi="Calibri"/>
          <w:szCs w:val="22"/>
        </w:rPr>
        <w:t xml:space="preserve">souhaité reporter son </w:t>
      </w:r>
      <w:r w:rsidRPr="00E919E8">
        <w:rPr>
          <w:rFonts w:ascii="Calibri" w:hAnsi="Calibri"/>
          <w:szCs w:val="22"/>
        </w:rPr>
        <w:t>positionne</w:t>
      </w:r>
      <w:r w:rsidR="00FA01F6" w:rsidRPr="00E919E8">
        <w:rPr>
          <w:rFonts w:ascii="Calibri" w:hAnsi="Calibri"/>
          <w:szCs w:val="22"/>
        </w:rPr>
        <w:t>ment</w:t>
      </w:r>
      <w:r w:rsidRPr="00E919E8">
        <w:rPr>
          <w:rFonts w:ascii="Calibri" w:hAnsi="Calibri"/>
          <w:szCs w:val="22"/>
        </w:rPr>
        <w:t xml:space="preserve"> au 1</w:t>
      </w:r>
      <w:r w:rsidRPr="00E919E8">
        <w:rPr>
          <w:rFonts w:ascii="Calibri" w:hAnsi="Calibri"/>
          <w:szCs w:val="22"/>
          <w:vertAlign w:val="superscript"/>
        </w:rPr>
        <w:t>er</w:t>
      </w:r>
      <w:r w:rsidRPr="00E919E8">
        <w:rPr>
          <w:rFonts w:ascii="Calibri" w:hAnsi="Calibri"/>
          <w:szCs w:val="22"/>
        </w:rPr>
        <w:t xml:space="preserve"> janvier 2020.</w:t>
      </w:r>
    </w:p>
    <w:p w:rsidR="00E82761" w:rsidRPr="00652E80" w:rsidRDefault="00E82761" w:rsidP="00E82761">
      <w:pPr>
        <w:pStyle w:val="Corpsdetexte"/>
        <w:ind w:left="720"/>
        <w:rPr>
          <w:rFonts w:ascii="Calibri" w:hAnsi="Calibri"/>
          <w:szCs w:val="22"/>
        </w:rPr>
      </w:pPr>
    </w:p>
    <w:p w:rsidR="00E919E8" w:rsidRPr="00652E80" w:rsidRDefault="00E919E8" w:rsidP="00E82761">
      <w:pPr>
        <w:pStyle w:val="Corpsdetexte"/>
        <w:rPr>
          <w:rFonts w:ascii="Calibri" w:hAnsi="Calibri"/>
          <w:szCs w:val="22"/>
        </w:rPr>
      </w:pPr>
      <w:r w:rsidRPr="00652E80">
        <w:rPr>
          <w:rFonts w:ascii="Calibri" w:hAnsi="Calibri"/>
          <w:szCs w:val="22"/>
        </w:rPr>
        <w:t>Durant les échanges, le Président</w:t>
      </w:r>
      <w:r w:rsidR="00B854B7" w:rsidRPr="00652E80">
        <w:rPr>
          <w:rFonts w:ascii="Calibri" w:hAnsi="Calibri"/>
          <w:szCs w:val="22"/>
        </w:rPr>
        <w:t xml:space="preserve"> et les membres du Bureau</w:t>
      </w:r>
      <w:r w:rsidRPr="00652E80">
        <w:rPr>
          <w:rFonts w:ascii="Calibri" w:hAnsi="Calibri"/>
          <w:szCs w:val="22"/>
        </w:rPr>
        <w:t xml:space="preserve"> indique</w:t>
      </w:r>
      <w:r w:rsidR="00B854B7" w:rsidRPr="00652E80">
        <w:rPr>
          <w:rFonts w:ascii="Calibri" w:hAnsi="Calibri"/>
          <w:szCs w:val="22"/>
        </w:rPr>
        <w:t>nt</w:t>
      </w:r>
      <w:r w:rsidRPr="00652E80">
        <w:rPr>
          <w:rFonts w:ascii="Calibri" w:hAnsi="Calibri"/>
          <w:szCs w:val="22"/>
        </w:rPr>
        <w:t xml:space="preserve"> qu’un travail doit être mené pour </w:t>
      </w:r>
      <w:r w:rsidR="00B854B7" w:rsidRPr="00652E80">
        <w:rPr>
          <w:rFonts w:ascii="Calibri" w:hAnsi="Calibri"/>
          <w:szCs w:val="22"/>
        </w:rPr>
        <w:t>réinterroger</w:t>
      </w:r>
      <w:r w:rsidRPr="00652E80">
        <w:rPr>
          <w:rFonts w:ascii="Calibri" w:hAnsi="Calibri"/>
          <w:szCs w:val="22"/>
        </w:rPr>
        <w:t xml:space="preserve"> le mode de financement</w:t>
      </w:r>
      <w:r w:rsidR="00B854B7" w:rsidRPr="00652E80">
        <w:rPr>
          <w:rFonts w:ascii="Calibri" w:hAnsi="Calibri"/>
          <w:szCs w:val="22"/>
        </w:rPr>
        <w:t xml:space="preserve"> du SDE35. En effet, l’extension de ses domaines d’intervention nécessite que les communes urbaines puissent elles aussi contribuer au fonctionnement du syndicat par le reversement d’une partie de la TCCFE ou par le biais d’une </w:t>
      </w:r>
      <w:r w:rsidR="009540B6" w:rsidRPr="00652E80">
        <w:rPr>
          <w:rFonts w:ascii="Calibri" w:hAnsi="Calibri"/>
          <w:szCs w:val="22"/>
        </w:rPr>
        <w:t>adhésion. Ce travail pourra être engagé avec l’AMF 35 et devra être conduit après les prochaines échéances électorales.</w:t>
      </w:r>
    </w:p>
    <w:p w:rsidR="009540B6" w:rsidRPr="00652E80" w:rsidRDefault="009540B6" w:rsidP="00E82761">
      <w:pPr>
        <w:pStyle w:val="Corpsdetexte"/>
        <w:rPr>
          <w:rFonts w:ascii="Calibri" w:hAnsi="Calibri"/>
          <w:szCs w:val="22"/>
        </w:rPr>
      </w:pPr>
    </w:p>
    <w:p w:rsidR="009540B6" w:rsidRPr="00652E80" w:rsidRDefault="009540B6" w:rsidP="00E82761">
      <w:pPr>
        <w:pStyle w:val="Corpsdetexte"/>
        <w:rPr>
          <w:rFonts w:ascii="Calibri" w:hAnsi="Calibri"/>
          <w:szCs w:val="22"/>
        </w:rPr>
      </w:pPr>
      <w:r w:rsidRPr="00652E80">
        <w:rPr>
          <w:rFonts w:ascii="Calibri" w:hAnsi="Calibri"/>
          <w:szCs w:val="22"/>
        </w:rPr>
        <w:t xml:space="preserve">Mr </w:t>
      </w:r>
      <w:proofErr w:type="spellStart"/>
      <w:r w:rsidRPr="00652E80">
        <w:rPr>
          <w:rFonts w:ascii="Calibri" w:hAnsi="Calibri"/>
          <w:szCs w:val="22"/>
        </w:rPr>
        <w:t>Tancerel</w:t>
      </w:r>
      <w:proofErr w:type="spellEnd"/>
      <w:r w:rsidRPr="00652E80">
        <w:rPr>
          <w:rFonts w:ascii="Calibri" w:hAnsi="Calibri"/>
          <w:szCs w:val="22"/>
        </w:rPr>
        <w:t xml:space="preserve"> rappelle que lors de la départementalisation, il avait été indiqué que les communes urbaines pourraient continuer de percevoir l’intégralité de leur TCCFE. Il partage néanmoins le constat que l’action du SDE35 a considérablement évoluée depuis cette date.</w:t>
      </w:r>
    </w:p>
    <w:p w:rsidR="00E919E8" w:rsidRPr="00B854B7" w:rsidRDefault="00E919E8" w:rsidP="00E82761">
      <w:pPr>
        <w:pStyle w:val="Corpsdetexte"/>
        <w:rPr>
          <w:rFonts w:ascii="Calibri" w:hAnsi="Calibri"/>
          <w:color w:val="8064A2" w:themeColor="accent4"/>
          <w:szCs w:val="22"/>
        </w:rPr>
      </w:pPr>
    </w:p>
    <w:p w:rsidR="00E82761" w:rsidRDefault="00E82761" w:rsidP="00E82761">
      <w:pPr>
        <w:pStyle w:val="Corpsdetexte"/>
        <w:rPr>
          <w:rFonts w:ascii="Calibri" w:hAnsi="Calibri"/>
          <w:szCs w:val="22"/>
        </w:rPr>
      </w:pPr>
      <w:r>
        <w:rPr>
          <w:rFonts w:ascii="Calibri" w:hAnsi="Calibri"/>
          <w:szCs w:val="22"/>
        </w:rPr>
        <w:t>Après délibération, le Comité syndical, à l’unanimité prend acte des modalités de perception de la TCFE selon des décisions des communes précédemment indiquées.</w:t>
      </w:r>
    </w:p>
    <w:p w:rsidR="00A828D1" w:rsidRPr="00A828D1" w:rsidRDefault="00A828D1" w:rsidP="003A294C">
      <w:pPr>
        <w:pStyle w:val="Paragraphedeliste"/>
        <w:spacing w:line="240" w:lineRule="auto"/>
        <w:ind w:left="927"/>
        <w:rPr>
          <w:rFonts w:ascii="Venacti Sb" w:hAnsi="Venacti Sb"/>
          <w:bCs/>
          <w:color w:val="FFFFFF"/>
          <w:sz w:val="26"/>
          <w:szCs w:val="26"/>
          <w:lang w:eastAsia="en-US"/>
        </w:rPr>
      </w:pPr>
      <w:proofErr w:type="spellStart"/>
      <w:r w:rsidRPr="00A828D1">
        <w:rPr>
          <w:rFonts w:ascii="Venacti Sb" w:hAnsi="Venacti Sb"/>
          <w:bCs/>
          <w:color w:val="FFFFFF"/>
          <w:sz w:val="26"/>
          <w:szCs w:val="26"/>
          <w:lang w:eastAsia="en-US"/>
        </w:rPr>
        <w:t>égociation</w:t>
      </w:r>
      <w:proofErr w:type="spellEnd"/>
      <w:r w:rsidRPr="00A828D1">
        <w:rPr>
          <w:rFonts w:ascii="Venacti Sb" w:hAnsi="Venacti Sb"/>
          <w:bCs/>
          <w:color w:val="FFFFFF"/>
          <w:sz w:val="26"/>
          <w:szCs w:val="26"/>
          <w:lang w:eastAsia="en-US"/>
        </w:rPr>
        <w:t xml:space="preserve"> du nouveau contrat de concession - approbation du </w:t>
      </w:r>
      <w:proofErr w:type="spellStart"/>
      <w:r w:rsidRPr="00A828D1">
        <w:rPr>
          <w:rFonts w:ascii="Venacti Sb" w:hAnsi="Venacti Sb"/>
          <w:bCs/>
          <w:color w:val="FFFFFF"/>
          <w:sz w:val="26"/>
          <w:szCs w:val="26"/>
          <w:lang w:eastAsia="en-US"/>
        </w:rPr>
        <w:t>diagostic</w:t>
      </w:r>
      <w:proofErr w:type="spellEnd"/>
      <w:r w:rsidRPr="00A828D1">
        <w:rPr>
          <w:rFonts w:ascii="Venacti Sb" w:hAnsi="Venacti Sb"/>
          <w:bCs/>
          <w:color w:val="FFFFFF"/>
          <w:sz w:val="26"/>
          <w:szCs w:val="26"/>
          <w:lang w:eastAsia="en-US"/>
        </w:rPr>
        <w:t xml:space="preserve"> technique </w:t>
      </w:r>
      <w:proofErr w:type="spellStart"/>
      <w:r w:rsidRPr="00A828D1">
        <w:rPr>
          <w:rFonts w:ascii="Venacti Sb" w:hAnsi="Venacti Sb"/>
          <w:bCs/>
          <w:color w:val="FFFFFF"/>
          <w:sz w:val="26"/>
          <w:szCs w:val="26"/>
          <w:lang w:eastAsia="en-US"/>
        </w:rPr>
        <w:t>artagé</w:t>
      </w:r>
      <w:proofErr w:type="spellEnd"/>
    </w:p>
    <w:p w:rsidR="00A828D1" w:rsidRDefault="00A828D1" w:rsidP="00A828D1">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A828D1">
        <w:rPr>
          <w:rFonts w:ascii="Venacti Sb" w:hAnsi="Venacti Sb"/>
          <w:bCs/>
          <w:color w:val="FFFFFF"/>
          <w:sz w:val="26"/>
          <w:szCs w:val="26"/>
          <w:lang w:eastAsia="en-US"/>
        </w:rPr>
        <w:t>Concession –Négociation du nouveau contrat de concession - approbation du diagnostic technique partag</w:t>
      </w:r>
      <w:r w:rsidR="0095433E">
        <w:rPr>
          <w:rFonts w:ascii="Venacti Sb" w:hAnsi="Venacti Sb"/>
          <w:bCs/>
          <w:color w:val="FFFFFF"/>
          <w:sz w:val="26"/>
          <w:szCs w:val="26"/>
          <w:lang w:eastAsia="en-US"/>
        </w:rPr>
        <w:t>é</w:t>
      </w:r>
    </w:p>
    <w:p w:rsidR="006F1156" w:rsidRDefault="006F1156" w:rsidP="00E82761">
      <w:pPr>
        <w:pStyle w:val="Corpsdetexte"/>
        <w:rPr>
          <w:rFonts w:ascii="Calibri" w:hAnsi="Calibri"/>
          <w:szCs w:val="22"/>
        </w:rPr>
      </w:pPr>
    </w:p>
    <w:p w:rsidR="0095433E" w:rsidRPr="00B94064" w:rsidRDefault="0095433E" w:rsidP="0095433E">
      <w:pPr>
        <w:jc w:val="left"/>
        <w:rPr>
          <w:szCs w:val="22"/>
          <w:lang w:eastAsia="x-none"/>
        </w:rPr>
      </w:pPr>
      <w:r w:rsidRPr="00B94064">
        <w:rPr>
          <w:szCs w:val="22"/>
          <w:lang w:eastAsia="x-none"/>
        </w:rPr>
        <w:t>Un point d’étape des négociations lancées dans le cadre du renouvellement du contrat de concession a été présenté au cours du dernier comité.</w:t>
      </w:r>
    </w:p>
    <w:p w:rsidR="0095433E" w:rsidRPr="00B94064" w:rsidRDefault="0095433E" w:rsidP="0095433E">
      <w:pPr>
        <w:jc w:val="left"/>
        <w:rPr>
          <w:szCs w:val="22"/>
          <w:lang w:eastAsia="x-none"/>
        </w:rPr>
      </w:pPr>
    </w:p>
    <w:p w:rsidR="0095433E" w:rsidRPr="00B94064" w:rsidRDefault="0095433E" w:rsidP="0095433E">
      <w:pPr>
        <w:jc w:val="left"/>
        <w:rPr>
          <w:szCs w:val="22"/>
          <w:lang w:eastAsia="x-none"/>
        </w:rPr>
      </w:pPr>
      <w:r w:rsidRPr="00B94064">
        <w:rPr>
          <w:szCs w:val="22"/>
          <w:lang w:eastAsia="x-none"/>
        </w:rPr>
        <w:t>Depuis le 26 mars, date de la première instance de négociation, cinq réunions de travail portant sur l’élaboration du schéma directeur d’investissement ont été organisées. Ces rencontres et le travail associé mené à la fois par les équipes d’</w:t>
      </w:r>
      <w:proofErr w:type="spellStart"/>
      <w:r w:rsidRPr="00B94064">
        <w:rPr>
          <w:szCs w:val="22"/>
          <w:lang w:eastAsia="x-none"/>
        </w:rPr>
        <w:t>Enedis</w:t>
      </w:r>
      <w:proofErr w:type="spellEnd"/>
      <w:r w:rsidRPr="00B94064">
        <w:rPr>
          <w:szCs w:val="22"/>
          <w:lang w:eastAsia="x-none"/>
        </w:rPr>
        <w:t xml:space="preserve"> et par celles du SDE35, ont permis la préparation, et la consolidation d’un diagnostic technique détaillé. </w:t>
      </w:r>
    </w:p>
    <w:p w:rsidR="0095433E" w:rsidRPr="00B94064" w:rsidRDefault="0095433E" w:rsidP="0095433E">
      <w:pPr>
        <w:jc w:val="left"/>
        <w:rPr>
          <w:szCs w:val="22"/>
          <w:lang w:eastAsia="x-none"/>
        </w:rPr>
      </w:pPr>
      <w:r w:rsidRPr="00B94064">
        <w:rPr>
          <w:szCs w:val="22"/>
          <w:lang w:eastAsia="x-none"/>
        </w:rPr>
        <w:t>Ce diagnostic est constitué :</w:t>
      </w:r>
    </w:p>
    <w:p w:rsidR="0095433E" w:rsidRPr="000F2874" w:rsidRDefault="0095433E" w:rsidP="000F2874">
      <w:pPr>
        <w:pStyle w:val="Paragraphedeliste"/>
        <w:numPr>
          <w:ilvl w:val="0"/>
          <w:numId w:val="22"/>
        </w:numPr>
        <w:jc w:val="left"/>
        <w:rPr>
          <w:szCs w:val="22"/>
          <w:lang w:eastAsia="x-none"/>
        </w:rPr>
      </w:pPr>
      <w:r w:rsidRPr="000F2874">
        <w:rPr>
          <w:szCs w:val="22"/>
          <w:lang w:eastAsia="x-none"/>
        </w:rPr>
        <w:t>d’une description physique du patrimoine de la concession,</w:t>
      </w:r>
    </w:p>
    <w:p w:rsidR="0095433E" w:rsidRPr="000F2874" w:rsidRDefault="0095433E" w:rsidP="000F2874">
      <w:pPr>
        <w:pStyle w:val="Paragraphedeliste"/>
        <w:numPr>
          <w:ilvl w:val="0"/>
          <w:numId w:val="22"/>
        </w:numPr>
        <w:jc w:val="left"/>
        <w:rPr>
          <w:szCs w:val="22"/>
          <w:lang w:eastAsia="x-none"/>
        </w:rPr>
      </w:pPr>
      <w:r w:rsidRPr="000F2874">
        <w:rPr>
          <w:szCs w:val="22"/>
          <w:lang w:eastAsia="x-none"/>
        </w:rPr>
        <w:t>d’une présentation de la performance du réseau,</w:t>
      </w:r>
    </w:p>
    <w:p w:rsidR="0095433E" w:rsidRPr="000F2874" w:rsidRDefault="0095433E" w:rsidP="000F2874">
      <w:pPr>
        <w:pStyle w:val="Paragraphedeliste"/>
        <w:numPr>
          <w:ilvl w:val="0"/>
          <w:numId w:val="22"/>
        </w:numPr>
        <w:jc w:val="left"/>
        <w:rPr>
          <w:szCs w:val="22"/>
          <w:lang w:eastAsia="x-none"/>
        </w:rPr>
      </w:pPr>
      <w:r w:rsidRPr="000F2874">
        <w:rPr>
          <w:szCs w:val="22"/>
          <w:lang w:eastAsia="x-none"/>
        </w:rPr>
        <w:t>d’une présentation des programmes de travaux entrepris par le gestionnaire de réseau sur la concession,</w:t>
      </w:r>
    </w:p>
    <w:p w:rsidR="0095433E" w:rsidRPr="000F2874" w:rsidRDefault="0095433E" w:rsidP="000F2874">
      <w:pPr>
        <w:pStyle w:val="Paragraphedeliste"/>
        <w:numPr>
          <w:ilvl w:val="0"/>
          <w:numId w:val="22"/>
        </w:numPr>
        <w:jc w:val="left"/>
        <w:rPr>
          <w:szCs w:val="22"/>
          <w:lang w:eastAsia="x-none"/>
        </w:rPr>
      </w:pPr>
      <w:r w:rsidRPr="000F2874">
        <w:rPr>
          <w:szCs w:val="22"/>
          <w:lang w:eastAsia="x-none"/>
        </w:rPr>
        <w:t>d’une analyse par le gestionnaire du réseau de distribution et le concédant des forces et fragilités du réseau,</w:t>
      </w:r>
    </w:p>
    <w:p w:rsidR="0095433E" w:rsidRPr="000F2874" w:rsidRDefault="0095433E" w:rsidP="000F2874">
      <w:pPr>
        <w:pStyle w:val="Paragraphedeliste"/>
        <w:numPr>
          <w:ilvl w:val="0"/>
          <w:numId w:val="22"/>
        </w:numPr>
        <w:jc w:val="left"/>
        <w:rPr>
          <w:szCs w:val="22"/>
          <w:lang w:eastAsia="x-none"/>
        </w:rPr>
      </w:pPr>
      <w:r w:rsidRPr="000F2874">
        <w:rPr>
          <w:szCs w:val="22"/>
          <w:lang w:eastAsia="x-none"/>
        </w:rPr>
        <w:t>des conclusions de cette analyse partagée en termes d’opportunités à saisir et de points de vigilance à retenir.</w:t>
      </w:r>
    </w:p>
    <w:p w:rsidR="0095433E" w:rsidRPr="00B94064" w:rsidRDefault="0095433E" w:rsidP="0095433E">
      <w:pPr>
        <w:jc w:val="left"/>
        <w:rPr>
          <w:szCs w:val="22"/>
          <w:lang w:eastAsia="x-none"/>
        </w:rPr>
      </w:pPr>
    </w:p>
    <w:p w:rsidR="0095433E" w:rsidRDefault="0095433E" w:rsidP="0095433E">
      <w:pPr>
        <w:jc w:val="left"/>
        <w:rPr>
          <w:szCs w:val="22"/>
          <w:lang w:eastAsia="x-none"/>
        </w:rPr>
      </w:pPr>
      <w:r w:rsidRPr="00B94064">
        <w:rPr>
          <w:szCs w:val="22"/>
          <w:lang w:eastAsia="x-none"/>
        </w:rPr>
        <w:lastRenderedPageBreak/>
        <w:t>Le 4 juillet dernier, l’instance de négociation a validé ce diagnostic ainsi que le principe de sa mise à jour à chaque Plan Pluriannuel d’Investissement (Durée de 4 ans).</w:t>
      </w:r>
    </w:p>
    <w:p w:rsidR="000F2874" w:rsidRPr="00652E80" w:rsidRDefault="000F2874" w:rsidP="0095433E">
      <w:pPr>
        <w:jc w:val="left"/>
        <w:rPr>
          <w:szCs w:val="22"/>
          <w:lang w:eastAsia="x-none"/>
        </w:rPr>
      </w:pPr>
    </w:p>
    <w:p w:rsidR="0095433E" w:rsidRPr="00652E80" w:rsidRDefault="000F2874" w:rsidP="0095433E">
      <w:pPr>
        <w:jc w:val="left"/>
        <w:rPr>
          <w:szCs w:val="22"/>
          <w:lang w:eastAsia="x-none"/>
        </w:rPr>
      </w:pPr>
      <w:r w:rsidRPr="00652E80">
        <w:rPr>
          <w:rFonts w:ascii="Calibri" w:hAnsi="Calibri"/>
          <w:szCs w:val="22"/>
        </w:rPr>
        <w:t>Après délibération, le Comité syndical, à l’unanimité prend acte de</w:t>
      </w:r>
      <w:r w:rsidR="0095433E" w:rsidRPr="00652E80">
        <w:rPr>
          <w:szCs w:val="22"/>
          <w:lang w:eastAsia="x-none"/>
        </w:rPr>
        <w:t xml:space="preserve"> ce diagnostic technique.</w:t>
      </w:r>
    </w:p>
    <w:p w:rsidR="003A294C" w:rsidRPr="00652E80" w:rsidRDefault="003A294C" w:rsidP="00E82761">
      <w:pPr>
        <w:pStyle w:val="Corpsdetexte"/>
        <w:rPr>
          <w:rFonts w:ascii="Calibri" w:hAnsi="Calibri"/>
          <w:szCs w:val="22"/>
        </w:rPr>
      </w:pPr>
    </w:p>
    <w:p w:rsidR="003A294C" w:rsidRPr="00652E80" w:rsidRDefault="003A294C" w:rsidP="00E82761">
      <w:pPr>
        <w:pStyle w:val="Corpsdetexte"/>
        <w:rPr>
          <w:rFonts w:ascii="Calibri" w:hAnsi="Calibri"/>
          <w:szCs w:val="22"/>
        </w:rPr>
      </w:pPr>
    </w:p>
    <w:p w:rsidR="00BA304E" w:rsidRDefault="00FA01F6" w:rsidP="00FA01F6">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FA01F6">
        <w:rPr>
          <w:rFonts w:ascii="Venacti Sb" w:hAnsi="Venacti Sb"/>
          <w:bCs/>
          <w:color w:val="FFFFFF"/>
          <w:sz w:val="26"/>
          <w:szCs w:val="26"/>
          <w:lang w:eastAsia="en-US"/>
        </w:rPr>
        <w:t>Eclairage – Attribution d’une subvention exceptionnelle à la commune de Hirel</w:t>
      </w:r>
    </w:p>
    <w:p w:rsidR="00BA304E" w:rsidRDefault="00BA304E" w:rsidP="00BA304E">
      <w:pPr>
        <w:rPr>
          <w:lang w:eastAsia="en-US"/>
        </w:rPr>
      </w:pPr>
    </w:p>
    <w:p w:rsidR="00FA01F6" w:rsidRDefault="00FA01F6" w:rsidP="00FA01F6">
      <w:pPr>
        <w:rPr>
          <w:color w:val="454546" w:themeColor="text2" w:themeShade="80"/>
        </w:rPr>
      </w:pPr>
      <w:r>
        <w:rPr>
          <w:color w:val="454546" w:themeColor="text2" w:themeShade="80"/>
        </w:rPr>
        <w:t>Par courrier du 22 décembre 2014</w:t>
      </w:r>
      <w:r w:rsidRPr="00DC444A">
        <w:rPr>
          <w:color w:val="454546" w:themeColor="text2" w:themeShade="80"/>
        </w:rPr>
        <w:t xml:space="preserve">, la commune de </w:t>
      </w:r>
      <w:r>
        <w:rPr>
          <w:color w:val="454546" w:themeColor="text2" w:themeShade="80"/>
        </w:rPr>
        <w:t>d’Hirel</w:t>
      </w:r>
      <w:r w:rsidRPr="00DC444A">
        <w:rPr>
          <w:color w:val="454546" w:themeColor="text2" w:themeShade="80"/>
        </w:rPr>
        <w:t xml:space="preserve"> </w:t>
      </w:r>
      <w:r>
        <w:rPr>
          <w:color w:val="454546" w:themeColor="text2" w:themeShade="80"/>
        </w:rPr>
        <w:t>a informé le SDE35</w:t>
      </w:r>
      <w:r w:rsidRPr="00DC444A">
        <w:rPr>
          <w:color w:val="454546" w:themeColor="text2" w:themeShade="80"/>
        </w:rPr>
        <w:t xml:space="preserve"> </w:t>
      </w:r>
      <w:r>
        <w:rPr>
          <w:color w:val="454546" w:themeColor="text2" w:themeShade="80"/>
        </w:rPr>
        <w:t>d’une dégradation des peintures de luminaire posés dans le cadre des travaux d’effacement des réseaux, sur la rue du littoral, et réalisés en 2006 et 2009 en accompagnement des opérations grands sites de la baie du Mont Saint Michel.</w:t>
      </w:r>
    </w:p>
    <w:p w:rsidR="00FA01F6" w:rsidRDefault="00FA01F6" w:rsidP="00FA01F6">
      <w:pPr>
        <w:rPr>
          <w:color w:val="454546" w:themeColor="text2" w:themeShade="80"/>
        </w:rPr>
      </w:pPr>
    </w:p>
    <w:p w:rsidR="00FA01F6" w:rsidRDefault="00FA01F6" w:rsidP="00FA01F6">
      <w:pPr>
        <w:rPr>
          <w:color w:val="454546" w:themeColor="text2" w:themeShade="80"/>
        </w:rPr>
      </w:pPr>
      <w:r>
        <w:rPr>
          <w:color w:val="454546" w:themeColor="text2" w:themeShade="80"/>
        </w:rPr>
        <w:t>Le fournisseur de luminaire a effectué une expertise qui a relevé l’absence de traitement bord de mer pourtant préconisé par le fabricant mais qui non intégré dans les projets par le SDE35. De ce fait, la responsabilité du fabricant ne peut être engagée.</w:t>
      </w:r>
    </w:p>
    <w:p w:rsidR="00FA01F6" w:rsidRPr="00DC444A" w:rsidRDefault="00FA01F6" w:rsidP="00FA01F6">
      <w:pPr>
        <w:rPr>
          <w:color w:val="454546" w:themeColor="text2" w:themeShade="80"/>
        </w:rPr>
      </w:pPr>
    </w:p>
    <w:p w:rsidR="00FA01F6" w:rsidRDefault="00FA01F6" w:rsidP="00FA01F6">
      <w:pPr>
        <w:rPr>
          <w:color w:val="454546" w:themeColor="text2" w:themeShade="80"/>
        </w:rPr>
      </w:pPr>
      <w:r>
        <w:rPr>
          <w:color w:val="454546" w:themeColor="text2" w:themeShade="80"/>
        </w:rPr>
        <w:t>Un inventaire complet a été réalisé suite au transfert de la compétence en 2018 et a mis en évidence que la dégradation prématurée s’était étendue sur les opérations réalisées sur la période de 2009 à 2014 portant à 63 le nombre de lanternes impactées.</w:t>
      </w:r>
    </w:p>
    <w:p w:rsidR="00FA01F6" w:rsidRDefault="00FA01F6" w:rsidP="00FA01F6">
      <w:pPr>
        <w:rPr>
          <w:color w:val="454546" w:themeColor="text2" w:themeShade="80"/>
        </w:rPr>
      </w:pPr>
    </w:p>
    <w:p w:rsidR="00FA01F6" w:rsidRDefault="00FA01F6" w:rsidP="00FA01F6">
      <w:pPr>
        <w:rPr>
          <w:color w:val="454546" w:themeColor="text2" w:themeShade="80"/>
        </w:rPr>
      </w:pPr>
      <w:r>
        <w:rPr>
          <w:color w:val="454546" w:themeColor="text2" w:themeShade="80"/>
        </w:rPr>
        <w:t xml:space="preserve">Vu l’estimation des travaux de réfection de peinture estimé à 50% d’un luminaire neuf </w:t>
      </w:r>
    </w:p>
    <w:p w:rsidR="00FA01F6" w:rsidRDefault="00FA01F6" w:rsidP="00FA01F6">
      <w:pPr>
        <w:rPr>
          <w:color w:val="454546" w:themeColor="text2" w:themeShade="80"/>
        </w:rPr>
      </w:pPr>
    </w:p>
    <w:p w:rsidR="00FA01F6" w:rsidRDefault="00FA01F6" w:rsidP="00FA01F6">
      <w:pPr>
        <w:rPr>
          <w:color w:val="454546" w:themeColor="text2" w:themeShade="80"/>
        </w:rPr>
      </w:pPr>
      <w:r>
        <w:rPr>
          <w:color w:val="454546" w:themeColor="text2" w:themeShade="80"/>
        </w:rPr>
        <w:t xml:space="preserve">Vu l’évolution de la technologie </w:t>
      </w:r>
      <w:proofErr w:type="spellStart"/>
      <w:r>
        <w:rPr>
          <w:color w:val="454546" w:themeColor="text2" w:themeShade="80"/>
        </w:rPr>
        <w:t>leds</w:t>
      </w:r>
      <w:proofErr w:type="spellEnd"/>
      <w:r>
        <w:rPr>
          <w:color w:val="454546" w:themeColor="text2" w:themeShade="80"/>
        </w:rPr>
        <w:t xml:space="preserve"> permettant d’obtenir un gain énergétique de 73% et un gain financier estimé à 23% (calcul sur une période de 10 ans avec une évolution de 3% du coût du KWH) par rapport  à la technologie lampe à décharge actuellement installée,</w:t>
      </w:r>
    </w:p>
    <w:p w:rsidR="00FA01F6" w:rsidRDefault="00FA01F6" w:rsidP="00FA01F6">
      <w:pPr>
        <w:rPr>
          <w:color w:val="454546" w:themeColor="text2" w:themeShade="80"/>
        </w:rPr>
      </w:pPr>
    </w:p>
    <w:p w:rsidR="00FA01F6" w:rsidRDefault="00FA01F6" w:rsidP="00FA01F6">
      <w:pPr>
        <w:rPr>
          <w:color w:val="454546" w:themeColor="text2" w:themeShade="80"/>
        </w:rPr>
      </w:pPr>
      <w:r>
        <w:rPr>
          <w:color w:val="454546" w:themeColor="text2" w:themeShade="80"/>
        </w:rPr>
        <w:t>Vu la responsabilité du SDE35 sur le défaut de prescription,</w:t>
      </w:r>
    </w:p>
    <w:p w:rsidR="00FA01F6" w:rsidRDefault="00FA01F6" w:rsidP="00FA01F6">
      <w:pPr>
        <w:rPr>
          <w:color w:val="454546" w:themeColor="text2" w:themeShade="80"/>
        </w:rPr>
      </w:pPr>
    </w:p>
    <w:p w:rsidR="00AD3F7E" w:rsidRDefault="00FA01F6" w:rsidP="00FA01F6">
      <w:pPr>
        <w:rPr>
          <w:color w:val="454546" w:themeColor="text2" w:themeShade="80"/>
        </w:rPr>
      </w:pPr>
      <w:r>
        <w:rPr>
          <w:color w:val="454546" w:themeColor="text2" w:themeShade="80"/>
        </w:rPr>
        <w:t>Après délibération, le Comité syndical, à l’unanimité</w:t>
      </w:r>
      <w:r w:rsidR="00AD3F7E">
        <w:rPr>
          <w:color w:val="454546" w:themeColor="text2" w:themeShade="80"/>
        </w:rPr>
        <w:t>, décide</w:t>
      </w:r>
      <w:r w:rsidRPr="00DC444A">
        <w:rPr>
          <w:color w:val="454546" w:themeColor="text2" w:themeShade="80"/>
        </w:rPr>
        <w:t xml:space="preserve"> </w:t>
      </w:r>
    </w:p>
    <w:p w:rsidR="00FA01F6" w:rsidRDefault="00FA01F6" w:rsidP="00AD3F7E">
      <w:pPr>
        <w:pStyle w:val="Paragraphedeliste"/>
        <w:numPr>
          <w:ilvl w:val="0"/>
          <w:numId w:val="23"/>
        </w:numPr>
      </w:pPr>
      <w:r w:rsidRPr="00AD3F7E">
        <w:rPr>
          <w:color w:val="454546" w:themeColor="text2" w:themeShade="80"/>
        </w:rPr>
        <w:t xml:space="preserve">d’attribuer à la commune d’Hirel une subvention dérogatoire au guide des aides à hauteur de 80% avec une participation de la collectivité de 20% pour le remplacement des luminaires existants par de nouvelles lanternes équipées de la technologie </w:t>
      </w:r>
      <w:proofErr w:type="spellStart"/>
      <w:r w:rsidRPr="00AD3F7E">
        <w:rPr>
          <w:color w:val="454546" w:themeColor="text2" w:themeShade="80"/>
        </w:rPr>
        <w:t>leds</w:t>
      </w:r>
      <w:proofErr w:type="spellEnd"/>
      <w:r w:rsidRPr="00AD3F7E">
        <w:rPr>
          <w:color w:val="454546" w:themeColor="text2" w:themeShade="80"/>
        </w:rPr>
        <w:t xml:space="preserve"> avec une protection front de mer.</w:t>
      </w:r>
    </w:p>
    <w:p w:rsidR="00FA01F6" w:rsidRPr="002C30A8" w:rsidRDefault="00AD3F7E" w:rsidP="00AD3F7E">
      <w:pPr>
        <w:pStyle w:val="Paragraphedeliste"/>
        <w:numPr>
          <w:ilvl w:val="0"/>
          <w:numId w:val="23"/>
        </w:numPr>
      </w:pPr>
      <w:r w:rsidRPr="002C30A8">
        <w:t>d’autoriser le président à signer tous les documents relatifs à cette affaire.</w:t>
      </w:r>
    </w:p>
    <w:p w:rsidR="00FA01F6" w:rsidRDefault="00FA01F6" w:rsidP="00BA304E">
      <w:pPr>
        <w:rPr>
          <w:lang w:eastAsia="en-US"/>
        </w:rPr>
      </w:pPr>
    </w:p>
    <w:p w:rsidR="00AD3F7E" w:rsidRPr="00BA304E" w:rsidRDefault="00AD3F7E" w:rsidP="00BA304E">
      <w:pPr>
        <w:rPr>
          <w:lang w:eastAsia="en-US"/>
        </w:rPr>
      </w:pPr>
    </w:p>
    <w:p w:rsidR="00BA304E" w:rsidRDefault="00AD3F7E" w:rsidP="00AD3F7E">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AD3F7E">
        <w:rPr>
          <w:rFonts w:ascii="Venacti Sb" w:hAnsi="Venacti Sb"/>
          <w:bCs/>
          <w:color w:val="FFFFFF"/>
          <w:sz w:val="26"/>
          <w:szCs w:val="26"/>
          <w:lang w:eastAsia="en-US"/>
        </w:rPr>
        <w:t xml:space="preserve">Eclairage – Transfert de la compétence des communes de </w:t>
      </w:r>
      <w:proofErr w:type="spellStart"/>
      <w:r w:rsidRPr="00AD3F7E">
        <w:rPr>
          <w:rFonts w:ascii="Venacti Sb" w:hAnsi="Venacti Sb"/>
          <w:bCs/>
          <w:color w:val="FFFFFF"/>
          <w:sz w:val="26"/>
          <w:szCs w:val="26"/>
          <w:lang w:eastAsia="en-US"/>
        </w:rPr>
        <w:t>Louvigné</w:t>
      </w:r>
      <w:proofErr w:type="spellEnd"/>
      <w:r w:rsidRPr="00AD3F7E">
        <w:rPr>
          <w:rFonts w:ascii="Venacti Sb" w:hAnsi="Venacti Sb"/>
          <w:bCs/>
          <w:color w:val="FFFFFF"/>
          <w:sz w:val="26"/>
          <w:szCs w:val="26"/>
          <w:lang w:eastAsia="en-US"/>
        </w:rPr>
        <w:t>-de-Bais et Mesnil Roc</w:t>
      </w:r>
      <w:r>
        <w:rPr>
          <w:rFonts w:ascii="Venacti Sb" w:hAnsi="Venacti Sb"/>
          <w:bCs/>
          <w:color w:val="FFFFFF"/>
          <w:sz w:val="26"/>
          <w:szCs w:val="26"/>
          <w:lang w:eastAsia="en-US"/>
        </w:rPr>
        <w:t>h</w:t>
      </w:r>
    </w:p>
    <w:p w:rsidR="00BA304E" w:rsidRDefault="00BA304E" w:rsidP="00C92CAF">
      <w:pPr>
        <w:rPr>
          <w:lang w:eastAsia="en-US"/>
        </w:rPr>
      </w:pPr>
    </w:p>
    <w:p w:rsidR="00AD3F7E" w:rsidRDefault="00AD3F7E" w:rsidP="00AD3F7E">
      <w:r>
        <w:t xml:space="preserve">Par délibérations des 11 décembre 2018 </w:t>
      </w:r>
      <w:r w:rsidRPr="000C460A">
        <w:t>et 15 mai 2019</w:t>
      </w:r>
      <w:r>
        <w:t xml:space="preserve">, les communes de </w:t>
      </w:r>
      <w:proofErr w:type="spellStart"/>
      <w:r>
        <w:t>Louvigné</w:t>
      </w:r>
      <w:proofErr w:type="spellEnd"/>
      <w:r>
        <w:t>-de-bais et Mesnil-Roch ont décidé de transférer la compétence optionnelle « éclairage public » au SDE35.</w:t>
      </w:r>
    </w:p>
    <w:p w:rsidR="00AD3F7E" w:rsidRDefault="00AD3F7E" w:rsidP="00AD3F7E"/>
    <w:p w:rsidR="00AD3F7E" w:rsidRDefault="00AD3F7E" w:rsidP="00AD3F7E">
      <w:r>
        <w:t>Concernant la commune de Mesnil-</w:t>
      </w:r>
      <w:proofErr w:type="spellStart"/>
      <w:r>
        <w:t>Roc’h</w:t>
      </w:r>
      <w:proofErr w:type="spellEnd"/>
      <w:r>
        <w:t xml:space="preserve">, il s’agit de l’intégration du secteur de </w:t>
      </w:r>
      <w:proofErr w:type="spellStart"/>
      <w:r>
        <w:t>Lanhélin</w:t>
      </w:r>
      <w:proofErr w:type="spellEnd"/>
      <w:r>
        <w:t xml:space="preserve"> en complément des secteurs de Saint Pierre de Plesguen et Tressé déjà transférés au SDE35 avant la fusion des communes du 1</w:t>
      </w:r>
      <w:r w:rsidRPr="00C356AC">
        <w:rPr>
          <w:vertAlign w:val="superscript"/>
        </w:rPr>
        <w:t>er</w:t>
      </w:r>
      <w:r>
        <w:t xml:space="preserve"> janvier 2019.</w:t>
      </w:r>
    </w:p>
    <w:p w:rsidR="00AD3F7E" w:rsidRDefault="00AD3F7E" w:rsidP="00AD3F7E"/>
    <w:p w:rsidR="00AD3F7E" w:rsidRDefault="00AD3F7E" w:rsidP="00AD3F7E">
      <w:r>
        <w:t>Après délibération, à l’unanimité, le comité décide :</w:t>
      </w:r>
    </w:p>
    <w:p w:rsidR="00AD3F7E" w:rsidRDefault="00AD3F7E" w:rsidP="00AD3F7E">
      <w:pPr>
        <w:pStyle w:val="Paragraphedeliste"/>
        <w:numPr>
          <w:ilvl w:val="0"/>
          <w:numId w:val="24"/>
        </w:numPr>
        <w:spacing w:line="240" w:lineRule="auto"/>
      </w:pPr>
      <w:r>
        <w:t xml:space="preserve">d’accepter à compter du 17 septembre 2019, le transfert de la compétence « éclairage » pour les communes de </w:t>
      </w:r>
      <w:proofErr w:type="spellStart"/>
      <w:r>
        <w:t>Louvigné</w:t>
      </w:r>
      <w:proofErr w:type="spellEnd"/>
      <w:r>
        <w:t xml:space="preserve">-de-Bais et de Mesnil </w:t>
      </w:r>
      <w:proofErr w:type="spellStart"/>
      <w:r>
        <w:t>Roc’h</w:t>
      </w:r>
      <w:proofErr w:type="spellEnd"/>
      <w:r>
        <w:t> ;</w:t>
      </w:r>
    </w:p>
    <w:p w:rsidR="00AD3F7E" w:rsidRDefault="00AD3F7E" w:rsidP="00AD3F7E">
      <w:pPr>
        <w:pStyle w:val="Paragraphedeliste"/>
        <w:numPr>
          <w:ilvl w:val="0"/>
          <w:numId w:val="24"/>
        </w:numPr>
        <w:spacing w:line="240" w:lineRule="auto"/>
      </w:pPr>
      <w:r>
        <w:t>de solliciter Madame la Préfète d’Ille-et-Vilaine pour modifier les statuts du SDE35 ;</w:t>
      </w:r>
    </w:p>
    <w:p w:rsidR="00AD3F7E" w:rsidRDefault="00AD3F7E" w:rsidP="00AD3F7E">
      <w:pPr>
        <w:pStyle w:val="Paragraphedeliste"/>
        <w:numPr>
          <w:ilvl w:val="0"/>
          <w:numId w:val="24"/>
        </w:numPr>
        <w:spacing w:line="240" w:lineRule="auto"/>
      </w:pPr>
      <w:r>
        <w:t>d’autoriser le Président à signer tous les documents relatifs à cette affaire.</w:t>
      </w:r>
    </w:p>
    <w:p w:rsidR="00436E5A" w:rsidRDefault="00436E5A" w:rsidP="00C92CAF">
      <w:pPr>
        <w:rPr>
          <w:color w:val="454546" w:themeColor="text2" w:themeShade="80"/>
        </w:rPr>
      </w:pPr>
    </w:p>
    <w:p w:rsidR="00BA304E" w:rsidRDefault="00AD3F7E" w:rsidP="00AD3F7E">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AD3F7E">
        <w:rPr>
          <w:rFonts w:ascii="Venacti Sb" w:hAnsi="Venacti Sb"/>
          <w:bCs/>
          <w:color w:val="FFFFFF"/>
          <w:sz w:val="26"/>
          <w:szCs w:val="26"/>
          <w:lang w:eastAsia="en-US"/>
        </w:rPr>
        <w:t>Critère de notation et attribution du marché de fourniture de Gaz</w:t>
      </w:r>
    </w:p>
    <w:p w:rsidR="00BA304E" w:rsidRDefault="00BA304E" w:rsidP="00AD3F7E">
      <w:pPr>
        <w:rPr>
          <w:lang w:eastAsia="en-US"/>
        </w:rPr>
      </w:pPr>
    </w:p>
    <w:p w:rsidR="00AD3F7E" w:rsidRDefault="00AD3F7E" w:rsidP="00AD3F7E">
      <w:r>
        <w:t>Vu la délibération n°20190521_COM_03 en date du 21 mai 2019 relative au lancement de la consultation portant sur la fourniture de gaz pour les membres du groupement d’achat d’énergie coordonné par le SDE35,</w:t>
      </w:r>
    </w:p>
    <w:p w:rsidR="00AD3F7E" w:rsidRDefault="00AD3F7E" w:rsidP="00AD3F7E"/>
    <w:p w:rsidR="00AD3F7E" w:rsidRDefault="00AD3F7E" w:rsidP="00AD3F7E">
      <w:r>
        <w:t>Vu la délibération n°20190702_COM_08 en date du 2 juillet 2019 autorisant le Président à valider le dossier de consultations des entreprises y compris les critères de notation au stade de l’accord-cadre et des marchés subséquents et l’autorisant également à lancer la consultation et réaliser les démarches préalables à l’attribution,</w:t>
      </w:r>
    </w:p>
    <w:p w:rsidR="00AD3F7E" w:rsidRDefault="00AD3F7E" w:rsidP="00AD3F7E"/>
    <w:p w:rsidR="00AD3F7E" w:rsidRPr="003755DE" w:rsidRDefault="00AD3F7E" w:rsidP="00AD3F7E">
      <w:r w:rsidRPr="003755DE">
        <w:t xml:space="preserve">La consultation lancée concerne la fourniture, l’acheminement de gaz naturel et les services associés. </w:t>
      </w:r>
    </w:p>
    <w:p w:rsidR="00AD3F7E" w:rsidRDefault="00AD3F7E" w:rsidP="00AD3F7E"/>
    <w:p w:rsidR="00AD3F7E" w:rsidRPr="003755DE" w:rsidRDefault="00AD3F7E" w:rsidP="00AD3F7E">
      <w:r w:rsidRPr="003755DE">
        <w:t xml:space="preserve">Elle a pour objet la conclusion, pour le compte des membres, d’un accord-cadre pour : </w:t>
      </w:r>
    </w:p>
    <w:p w:rsidR="00AD3F7E" w:rsidRPr="00867F8C" w:rsidRDefault="00AD3F7E" w:rsidP="00AD3F7E">
      <w:pPr>
        <w:pStyle w:val="Paragraphedeliste"/>
        <w:numPr>
          <w:ilvl w:val="0"/>
          <w:numId w:val="17"/>
        </w:numPr>
        <w:spacing w:line="240" w:lineRule="auto"/>
        <w:rPr>
          <w:szCs w:val="22"/>
        </w:rPr>
      </w:pPr>
      <w:r w:rsidRPr="00867F8C">
        <w:rPr>
          <w:color w:val="000000"/>
        </w:rPr>
        <w:t>La fourniture et l’acheminement de gaz naturel pour les points de livraison (PDL) des memb</w:t>
      </w:r>
      <w:r>
        <w:t xml:space="preserve">res du groupement de commandes ; </w:t>
      </w:r>
    </w:p>
    <w:p w:rsidR="00AD3F7E" w:rsidRDefault="00AD3F7E" w:rsidP="00AD3F7E">
      <w:pPr>
        <w:pStyle w:val="Paragraphedeliste"/>
        <w:numPr>
          <w:ilvl w:val="0"/>
          <w:numId w:val="17"/>
        </w:numPr>
        <w:spacing w:line="240" w:lineRule="auto"/>
      </w:pPr>
      <w:r>
        <w:t xml:space="preserve">La couverture des obligations de stockage ; </w:t>
      </w:r>
    </w:p>
    <w:p w:rsidR="00AD3F7E" w:rsidRDefault="00AD3F7E" w:rsidP="00AD3F7E">
      <w:pPr>
        <w:pStyle w:val="Paragraphedeliste"/>
        <w:numPr>
          <w:ilvl w:val="0"/>
          <w:numId w:val="17"/>
        </w:numPr>
        <w:spacing w:line="240" w:lineRule="auto"/>
      </w:pPr>
      <w:r>
        <w:t xml:space="preserve">La facturation, dont la transmission des factures en Echange de Données informatisé (EDI) et la prise en charge des relations avec le Gestionnaire du Réseau de Distribution dans le cadre des Conditions de Distribution ; </w:t>
      </w:r>
    </w:p>
    <w:p w:rsidR="00AD3F7E" w:rsidRDefault="00AD3F7E" w:rsidP="00AD3F7E">
      <w:pPr>
        <w:pStyle w:val="Paragraphedeliste"/>
        <w:numPr>
          <w:ilvl w:val="0"/>
          <w:numId w:val="17"/>
        </w:numPr>
        <w:spacing w:line="240" w:lineRule="auto"/>
      </w:pPr>
      <w:r>
        <w:t xml:space="preserve">La mission de responsable d'équilibre conformément à l'article L.431-3 du code de l'énergie ; </w:t>
      </w:r>
    </w:p>
    <w:p w:rsidR="00AD3F7E" w:rsidRDefault="00AD3F7E" w:rsidP="00AD3F7E">
      <w:pPr>
        <w:pStyle w:val="Paragraphedeliste"/>
        <w:numPr>
          <w:ilvl w:val="0"/>
          <w:numId w:val="17"/>
        </w:numPr>
        <w:spacing w:line="240" w:lineRule="auto"/>
      </w:pPr>
      <w:r>
        <w:t xml:space="preserve">Les prestations de services obligatoires décrites au CCTP-C et au CCAP-C. </w:t>
      </w:r>
    </w:p>
    <w:p w:rsidR="00AD3F7E" w:rsidRDefault="00AD3F7E" w:rsidP="00AD3F7E">
      <w:r>
        <w:t>Il n’est pas prévu d‘allotissement.</w:t>
      </w:r>
    </w:p>
    <w:p w:rsidR="00AD3F7E" w:rsidRDefault="00AD3F7E" w:rsidP="00AD3F7E"/>
    <w:p w:rsidR="006F1156" w:rsidRDefault="006F1156" w:rsidP="00AD3F7E"/>
    <w:p w:rsidR="00AD3F7E" w:rsidRDefault="00AD3F7E" w:rsidP="00AD3F7E">
      <w:r>
        <w:t>Les critères de notation définis avec l’appui d’un AMO MCMA Solutions, au stade de l’accord-cadre sont :</w:t>
      </w:r>
    </w:p>
    <w:p w:rsidR="00AD3F7E" w:rsidRDefault="00AD3F7E" w:rsidP="00AD3F7E"/>
    <w:tbl>
      <w:tblPr>
        <w:tblpPr w:leftFromText="141" w:rightFromText="141" w:vertAnchor="text" w:horzAnchor="margin" w:tblpXSpec="center" w:tblpY="68"/>
        <w:tblW w:w="0" w:type="auto"/>
        <w:tblCellMar>
          <w:left w:w="0" w:type="dxa"/>
          <w:right w:w="0" w:type="dxa"/>
        </w:tblCellMar>
        <w:tblLook w:val="04A0" w:firstRow="1" w:lastRow="0" w:firstColumn="1" w:lastColumn="0" w:noHBand="0" w:noVBand="1"/>
      </w:tblPr>
      <w:tblGrid>
        <w:gridCol w:w="4389"/>
        <w:gridCol w:w="1842"/>
      </w:tblGrid>
      <w:tr w:rsidR="00C01B3F" w:rsidTr="00C01B3F">
        <w:trPr>
          <w:trHeight w:val="58"/>
        </w:trPr>
        <w:tc>
          <w:tcPr>
            <w:tcW w:w="4389" w:type="dxa"/>
            <w:tcBorders>
              <w:top w:val="single" w:sz="8" w:space="0" w:color="9BBB59"/>
              <w:left w:val="single" w:sz="8" w:space="0" w:color="9BBB59"/>
              <w:bottom w:val="single" w:sz="8" w:space="0" w:color="9BBB59"/>
              <w:right w:val="single" w:sz="8" w:space="0" w:color="9BBB59"/>
            </w:tcBorders>
            <w:shd w:val="clear" w:color="auto" w:fill="D9D9D9"/>
            <w:tcMar>
              <w:top w:w="0" w:type="dxa"/>
              <w:left w:w="108" w:type="dxa"/>
              <w:bottom w:w="0" w:type="dxa"/>
              <w:right w:w="108" w:type="dxa"/>
            </w:tcMar>
            <w:vAlign w:val="center"/>
            <w:hideMark/>
          </w:tcPr>
          <w:p w:rsidR="00C01B3F" w:rsidRDefault="00C01B3F" w:rsidP="00C01B3F">
            <w:pPr>
              <w:jc w:val="center"/>
              <w:rPr>
                <w:rFonts w:ascii="Calibri" w:eastAsiaTheme="minorHAnsi" w:hAnsi="Calibri"/>
                <w:b/>
                <w:bCs/>
                <w:color w:val="595959"/>
                <w:szCs w:val="22"/>
                <w:lang w:eastAsia="en-US"/>
              </w:rPr>
            </w:pPr>
            <w:r>
              <w:rPr>
                <w:b/>
                <w:bCs/>
                <w:color w:val="595959"/>
              </w:rPr>
              <w:t>Critère</w:t>
            </w:r>
          </w:p>
        </w:tc>
        <w:tc>
          <w:tcPr>
            <w:tcW w:w="1842" w:type="dxa"/>
            <w:tcBorders>
              <w:top w:val="single" w:sz="8" w:space="0" w:color="9BBB59"/>
              <w:left w:val="single" w:sz="8" w:space="0" w:color="9BBB59"/>
              <w:bottom w:val="single" w:sz="8" w:space="0" w:color="9BBB59"/>
              <w:right w:val="single" w:sz="8" w:space="0" w:color="9BBB59"/>
            </w:tcBorders>
            <w:shd w:val="clear" w:color="auto" w:fill="D9D9D9"/>
            <w:tcMar>
              <w:top w:w="0" w:type="dxa"/>
              <w:left w:w="108" w:type="dxa"/>
              <w:bottom w:w="0" w:type="dxa"/>
              <w:right w:w="108" w:type="dxa"/>
            </w:tcMar>
            <w:vAlign w:val="center"/>
            <w:hideMark/>
          </w:tcPr>
          <w:p w:rsidR="00C01B3F" w:rsidRDefault="00C01B3F" w:rsidP="00C01B3F">
            <w:pPr>
              <w:jc w:val="center"/>
              <w:rPr>
                <w:rFonts w:ascii="Calibri" w:eastAsiaTheme="minorHAnsi" w:hAnsi="Calibri"/>
                <w:b/>
                <w:bCs/>
                <w:color w:val="595959"/>
                <w:szCs w:val="22"/>
                <w:lang w:eastAsia="en-US"/>
              </w:rPr>
            </w:pPr>
            <w:r>
              <w:rPr>
                <w:b/>
                <w:bCs/>
                <w:color w:val="595959"/>
              </w:rPr>
              <w:t>Pondération</w:t>
            </w:r>
          </w:p>
        </w:tc>
      </w:tr>
      <w:tr w:rsidR="00C01B3F" w:rsidTr="00C01B3F">
        <w:trPr>
          <w:trHeight w:val="298"/>
        </w:trPr>
        <w:tc>
          <w:tcPr>
            <w:tcW w:w="4389" w:type="dxa"/>
            <w:tcBorders>
              <w:top w:val="nil"/>
              <w:left w:val="single" w:sz="8" w:space="0" w:color="C2D69B"/>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C01B3F" w:rsidRDefault="00C01B3F" w:rsidP="00C01B3F">
            <w:pPr>
              <w:ind w:left="313"/>
              <w:rPr>
                <w:rFonts w:ascii="Calibri" w:eastAsiaTheme="minorHAnsi" w:hAnsi="Calibri"/>
                <w:b/>
                <w:bCs/>
                <w:color w:val="595959"/>
                <w:szCs w:val="22"/>
                <w:lang w:eastAsia="en-US"/>
              </w:rPr>
            </w:pPr>
            <w:r>
              <w:rPr>
                <w:color w:val="595959"/>
              </w:rPr>
              <w:t>Valeur technique de l’offre (note N</w:t>
            </w:r>
            <w:r>
              <w:rPr>
                <w:color w:val="595959"/>
                <w:vertAlign w:val="subscript"/>
              </w:rPr>
              <w:t>T</w:t>
            </w:r>
            <w:r>
              <w:rPr>
                <w:color w:val="595959"/>
              </w:rPr>
              <w:t>)</w:t>
            </w:r>
          </w:p>
        </w:tc>
        <w:tc>
          <w:tcPr>
            <w:tcW w:w="1842" w:type="dxa"/>
            <w:tcBorders>
              <w:top w:val="nil"/>
              <w:left w:val="nil"/>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C01B3F" w:rsidRDefault="00C01B3F" w:rsidP="00C01B3F">
            <w:pPr>
              <w:jc w:val="center"/>
              <w:rPr>
                <w:rFonts w:ascii="Calibri" w:eastAsiaTheme="minorHAnsi" w:hAnsi="Calibri"/>
                <w:color w:val="595959"/>
                <w:szCs w:val="22"/>
                <w:lang w:eastAsia="en-US"/>
              </w:rPr>
            </w:pPr>
            <w:r>
              <w:rPr>
                <w:color w:val="595959"/>
              </w:rPr>
              <w:t>95 %</w:t>
            </w:r>
          </w:p>
        </w:tc>
      </w:tr>
      <w:tr w:rsidR="00C01B3F" w:rsidTr="00C01B3F">
        <w:trPr>
          <w:trHeight w:val="58"/>
        </w:trPr>
        <w:tc>
          <w:tcPr>
            <w:tcW w:w="4389" w:type="dxa"/>
            <w:tcBorders>
              <w:top w:val="nil"/>
              <w:left w:val="single" w:sz="8" w:space="0" w:color="C2D69B"/>
              <w:bottom w:val="single" w:sz="8" w:space="0" w:color="C2D69B"/>
              <w:right w:val="single" w:sz="8" w:space="0" w:color="C2D69B"/>
            </w:tcBorders>
            <w:tcMar>
              <w:top w:w="0" w:type="dxa"/>
              <w:left w:w="108" w:type="dxa"/>
              <w:bottom w:w="0" w:type="dxa"/>
              <w:right w:w="108" w:type="dxa"/>
            </w:tcMar>
            <w:vAlign w:val="center"/>
            <w:hideMark/>
          </w:tcPr>
          <w:p w:rsidR="00C01B3F" w:rsidRDefault="00C01B3F" w:rsidP="00C01B3F">
            <w:pPr>
              <w:ind w:left="313"/>
              <w:rPr>
                <w:rFonts w:ascii="Calibri" w:eastAsiaTheme="minorHAnsi" w:hAnsi="Calibri"/>
                <w:color w:val="595959"/>
                <w:szCs w:val="22"/>
                <w:lang w:eastAsia="en-US"/>
              </w:rPr>
            </w:pPr>
            <w:r>
              <w:rPr>
                <w:color w:val="595959"/>
              </w:rPr>
              <w:t>Valeur économique de l’offre (note N</w:t>
            </w:r>
            <w:r>
              <w:rPr>
                <w:color w:val="595959"/>
                <w:vertAlign w:val="subscript"/>
              </w:rPr>
              <w:t>P</w:t>
            </w:r>
            <w:r>
              <w:rPr>
                <w:color w:val="595959"/>
              </w:rPr>
              <w:t>)</w:t>
            </w:r>
          </w:p>
        </w:tc>
        <w:tc>
          <w:tcPr>
            <w:tcW w:w="1842" w:type="dxa"/>
            <w:tcBorders>
              <w:top w:val="nil"/>
              <w:left w:val="nil"/>
              <w:bottom w:val="single" w:sz="8" w:space="0" w:color="C2D69B"/>
              <w:right w:val="single" w:sz="8" w:space="0" w:color="C2D69B"/>
            </w:tcBorders>
            <w:tcMar>
              <w:top w:w="0" w:type="dxa"/>
              <w:left w:w="108" w:type="dxa"/>
              <w:bottom w:w="0" w:type="dxa"/>
              <w:right w:w="108" w:type="dxa"/>
            </w:tcMar>
            <w:vAlign w:val="center"/>
            <w:hideMark/>
          </w:tcPr>
          <w:p w:rsidR="00C01B3F" w:rsidRDefault="00C01B3F" w:rsidP="00C01B3F">
            <w:pPr>
              <w:jc w:val="center"/>
              <w:rPr>
                <w:rFonts w:ascii="Calibri" w:eastAsiaTheme="minorHAnsi" w:hAnsi="Calibri"/>
                <w:color w:val="595959"/>
                <w:szCs w:val="22"/>
                <w:lang w:eastAsia="en-US"/>
              </w:rPr>
            </w:pPr>
            <w:r>
              <w:rPr>
                <w:color w:val="595959"/>
              </w:rPr>
              <w:t>5 %</w:t>
            </w:r>
          </w:p>
        </w:tc>
      </w:tr>
    </w:tbl>
    <w:p w:rsidR="00AD3F7E" w:rsidRDefault="00AD3F7E" w:rsidP="00AD3F7E">
      <w:pPr>
        <w:rPr>
          <w:color w:val="595959"/>
        </w:rPr>
      </w:pPr>
    </w:p>
    <w:p w:rsidR="00AD3F7E" w:rsidRDefault="00AD3F7E" w:rsidP="00AD3F7E">
      <w:pPr>
        <w:rPr>
          <w:color w:val="595959"/>
        </w:rPr>
      </w:pPr>
    </w:p>
    <w:p w:rsidR="00AD3F7E" w:rsidRDefault="00AD3F7E" w:rsidP="00AD3F7E"/>
    <w:p w:rsidR="006F1156" w:rsidRDefault="006F1156" w:rsidP="00AD3F7E"/>
    <w:p w:rsidR="006F1156" w:rsidRDefault="006F1156" w:rsidP="00AD3F7E"/>
    <w:p w:rsidR="006F1156" w:rsidRDefault="006F1156" w:rsidP="00AD3F7E">
      <w:r>
        <w:t>La valeur technique des offres sera appréciée à partir des sous-critères suivants :</w:t>
      </w:r>
    </w:p>
    <w:p w:rsidR="006F1156" w:rsidRDefault="006F1156" w:rsidP="00AD3F7E"/>
    <w:p w:rsidR="00C01B3F" w:rsidRDefault="00C01B3F" w:rsidP="00AD3F7E"/>
    <w:tbl>
      <w:tblPr>
        <w:tblpPr w:leftFromText="141" w:rightFromText="141" w:vertAnchor="text" w:horzAnchor="margin" w:tblpXSpec="center" w:tblpY="192"/>
        <w:tblW w:w="0" w:type="auto"/>
        <w:tblCellMar>
          <w:left w:w="0" w:type="dxa"/>
          <w:right w:w="0" w:type="dxa"/>
        </w:tblCellMar>
        <w:tblLook w:val="04A0" w:firstRow="1" w:lastRow="0" w:firstColumn="1" w:lastColumn="0" w:noHBand="0" w:noVBand="1"/>
      </w:tblPr>
      <w:tblGrid>
        <w:gridCol w:w="6345"/>
        <w:gridCol w:w="1701"/>
      </w:tblGrid>
      <w:tr w:rsidR="006F1156" w:rsidTr="006F1156">
        <w:trPr>
          <w:trHeight w:val="58"/>
        </w:trPr>
        <w:tc>
          <w:tcPr>
            <w:tcW w:w="6345" w:type="dxa"/>
            <w:tcBorders>
              <w:top w:val="single" w:sz="8" w:space="0" w:color="9BBB59"/>
              <w:left w:val="single" w:sz="8" w:space="0" w:color="9BBB59"/>
              <w:bottom w:val="single" w:sz="8" w:space="0" w:color="9BBB59"/>
              <w:right w:val="single" w:sz="8" w:space="0" w:color="9BBB59"/>
            </w:tcBorders>
            <w:shd w:val="clear" w:color="auto" w:fill="D9D9D9"/>
            <w:tcMar>
              <w:top w:w="0" w:type="dxa"/>
              <w:left w:w="108" w:type="dxa"/>
              <w:bottom w:w="0" w:type="dxa"/>
              <w:right w:w="108" w:type="dxa"/>
            </w:tcMar>
            <w:vAlign w:val="center"/>
            <w:hideMark/>
          </w:tcPr>
          <w:p w:rsidR="006F1156" w:rsidRDefault="006F1156" w:rsidP="006F1156">
            <w:pPr>
              <w:jc w:val="center"/>
              <w:rPr>
                <w:rFonts w:ascii="Calibri" w:eastAsiaTheme="minorHAnsi" w:hAnsi="Calibri"/>
                <w:b/>
                <w:bCs/>
                <w:color w:val="595959"/>
                <w:szCs w:val="22"/>
                <w:lang w:eastAsia="en-US"/>
              </w:rPr>
            </w:pPr>
            <w:r>
              <w:rPr>
                <w:b/>
                <w:bCs/>
                <w:color w:val="595959"/>
              </w:rPr>
              <w:t>Sous-Critère</w:t>
            </w:r>
          </w:p>
        </w:tc>
        <w:tc>
          <w:tcPr>
            <w:tcW w:w="1701" w:type="dxa"/>
            <w:tcBorders>
              <w:top w:val="single" w:sz="8" w:space="0" w:color="9BBB59"/>
              <w:left w:val="single" w:sz="8" w:space="0" w:color="9BBB59"/>
              <w:bottom w:val="single" w:sz="8" w:space="0" w:color="9BBB59"/>
              <w:right w:val="single" w:sz="8" w:space="0" w:color="9BBB59"/>
            </w:tcBorders>
            <w:shd w:val="clear" w:color="auto" w:fill="D9D9D9"/>
            <w:tcMar>
              <w:top w:w="0" w:type="dxa"/>
              <w:left w:w="108" w:type="dxa"/>
              <w:bottom w:w="0" w:type="dxa"/>
              <w:right w:w="108" w:type="dxa"/>
            </w:tcMar>
            <w:vAlign w:val="center"/>
            <w:hideMark/>
          </w:tcPr>
          <w:p w:rsidR="006F1156" w:rsidRDefault="006F1156" w:rsidP="006F1156">
            <w:pPr>
              <w:jc w:val="center"/>
              <w:rPr>
                <w:rFonts w:ascii="Calibri" w:eastAsiaTheme="minorHAnsi" w:hAnsi="Calibri"/>
                <w:b/>
                <w:bCs/>
                <w:color w:val="595959"/>
                <w:szCs w:val="22"/>
                <w:lang w:eastAsia="en-US"/>
              </w:rPr>
            </w:pPr>
            <w:r>
              <w:rPr>
                <w:b/>
                <w:bCs/>
                <w:color w:val="595959"/>
              </w:rPr>
              <w:t>Pondération</w:t>
            </w:r>
          </w:p>
        </w:tc>
      </w:tr>
      <w:tr w:rsidR="006F1156" w:rsidTr="006F1156">
        <w:trPr>
          <w:trHeight w:val="298"/>
        </w:trPr>
        <w:tc>
          <w:tcPr>
            <w:tcW w:w="6345" w:type="dxa"/>
            <w:tcBorders>
              <w:top w:val="nil"/>
              <w:left w:val="single" w:sz="8" w:space="0" w:color="C2D69B"/>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rPr>
                <w:rFonts w:ascii="Calibri" w:eastAsiaTheme="minorHAnsi" w:hAnsi="Calibri"/>
                <w:b/>
                <w:bCs/>
                <w:color w:val="595959"/>
                <w:szCs w:val="22"/>
                <w:lang w:eastAsia="en-US"/>
              </w:rPr>
            </w:pPr>
            <w:r>
              <w:rPr>
                <w:color w:val="595959"/>
              </w:rPr>
              <w:t>Modalités de mise en œuvre de la bascule dans les délais impartis</w:t>
            </w:r>
          </w:p>
        </w:tc>
        <w:tc>
          <w:tcPr>
            <w:tcW w:w="1701" w:type="dxa"/>
            <w:tcBorders>
              <w:top w:val="nil"/>
              <w:left w:val="nil"/>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jc w:val="center"/>
              <w:rPr>
                <w:rFonts w:ascii="Calibri" w:eastAsiaTheme="minorHAnsi" w:hAnsi="Calibri"/>
                <w:color w:val="595959"/>
                <w:szCs w:val="22"/>
                <w:lang w:eastAsia="en-US"/>
              </w:rPr>
            </w:pPr>
            <w:r>
              <w:rPr>
                <w:color w:val="595959"/>
              </w:rPr>
              <w:t>5 %</w:t>
            </w:r>
          </w:p>
        </w:tc>
      </w:tr>
      <w:tr w:rsidR="006F1156" w:rsidTr="006F1156">
        <w:trPr>
          <w:trHeight w:val="58"/>
        </w:trPr>
        <w:tc>
          <w:tcPr>
            <w:tcW w:w="6345" w:type="dxa"/>
            <w:tcBorders>
              <w:top w:val="nil"/>
              <w:left w:val="single" w:sz="8" w:space="0" w:color="C2D69B"/>
              <w:bottom w:val="single" w:sz="8" w:space="0" w:color="C2D69B"/>
              <w:right w:val="single" w:sz="8" w:space="0" w:color="C2D69B"/>
            </w:tcBorders>
            <w:tcMar>
              <w:top w:w="0" w:type="dxa"/>
              <w:left w:w="108" w:type="dxa"/>
              <w:bottom w:w="0" w:type="dxa"/>
              <w:right w:w="108" w:type="dxa"/>
            </w:tcMar>
            <w:vAlign w:val="center"/>
            <w:hideMark/>
          </w:tcPr>
          <w:p w:rsidR="006F1156" w:rsidRDefault="006F1156" w:rsidP="006F1156">
            <w:pPr>
              <w:rPr>
                <w:rFonts w:ascii="Calibri" w:eastAsiaTheme="minorHAnsi" w:hAnsi="Calibri"/>
                <w:color w:val="595959"/>
                <w:szCs w:val="22"/>
                <w:lang w:eastAsia="en-US"/>
              </w:rPr>
            </w:pPr>
            <w:r>
              <w:rPr>
                <w:color w:val="595959"/>
              </w:rPr>
              <w:t>Modalités d’exécution des prestations avec les membres</w:t>
            </w:r>
          </w:p>
        </w:tc>
        <w:tc>
          <w:tcPr>
            <w:tcW w:w="1701" w:type="dxa"/>
            <w:tcBorders>
              <w:top w:val="nil"/>
              <w:left w:val="nil"/>
              <w:bottom w:val="single" w:sz="8" w:space="0" w:color="C2D69B"/>
              <w:right w:val="single" w:sz="8" w:space="0" w:color="C2D69B"/>
            </w:tcBorders>
            <w:tcMar>
              <w:top w:w="0" w:type="dxa"/>
              <w:left w:w="108" w:type="dxa"/>
              <w:bottom w:w="0" w:type="dxa"/>
              <w:right w:w="108" w:type="dxa"/>
            </w:tcMar>
            <w:vAlign w:val="center"/>
            <w:hideMark/>
          </w:tcPr>
          <w:p w:rsidR="006F1156" w:rsidRDefault="006F1156" w:rsidP="006F1156">
            <w:pPr>
              <w:jc w:val="center"/>
              <w:rPr>
                <w:rFonts w:ascii="Calibri" w:eastAsiaTheme="minorHAnsi" w:hAnsi="Calibri"/>
                <w:color w:val="595959"/>
                <w:szCs w:val="22"/>
                <w:lang w:eastAsia="en-US"/>
              </w:rPr>
            </w:pPr>
            <w:r>
              <w:rPr>
                <w:color w:val="595959"/>
              </w:rPr>
              <w:t>30 %</w:t>
            </w:r>
          </w:p>
        </w:tc>
      </w:tr>
      <w:tr w:rsidR="006F1156" w:rsidTr="006F1156">
        <w:trPr>
          <w:trHeight w:val="58"/>
        </w:trPr>
        <w:tc>
          <w:tcPr>
            <w:tcW w:w="6345" w:type="dxa"/>
            <w:tcBorders>
              <w:top w:val="nil"/>
              <w:left w:val="single" w:sz="8" w:space="0" w:color="C2D69B"/>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rPr>
                <w:rFonts w:ascii="Calibri" w:eastAsiaTheme="minorHAnsi" w:hAnsi="Calibri"/>
                <w:color w:val="595959"/>
                <w:szCs w:val="22"/>
                <w:lang w:eastAsia="en-US"/>
              </w:rPr>
            </w:pPr>
            <w:r>
              <w:rPr>
                <w:color w:val="595959"/>
              </w:rPr>
              <w:t>Modalités de facturation proposées en EDI et exemple de factures et de champs EDI transmis</w:t>
            </w:r>
          </w:p>
        </w:tc>
        <w:tc>
          <w:tcPr>
            <w:tcW w:w="1701" w:type="dxa"/>
            <w:tcBorders>
              <w:top w:val="nil"/>
              <w:left w:val="nil"/>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jc w:val="center"/>
              <w:rPr>
                <w:rFonts w:ascii="Calibri" w:eastAsiaTheme="minorHAnsi" w:hAnsi="Calibri"/>
                <w:color w:val="595959"/>
                <w:szCs w:val="22"/>
                <w:lang w:eastAsia="en-US"/>
              </w:rPr>
            </w:pPr>
            <w:r>
              <w:rPr>
                <w:color w:val="595959"/>
              </w:rPr>
              <w:t>25%</w:t>
            </w:r>
          </w:p>
        </w:tc>
      </w:tr>
      <w:tr w:rsidR="006F1156" w:rsidTr="006F1156">
        <w:trPr>
          <w:trHeight w:val="58"/>
        </w:trPr>
        <w:tc>
          <w:tcPr>
            <w:tcW w:w="6345" w:type="dxa"/>
            <w:tcBorders>
              <w:top w:val="nil"/>
              <w:left w:val="single" w:sz="8" w:space="0" w:color="C2D69B"/>
              <w:bottom w:val="single" w:sz="8" w:space="0" w:color="C2D69B"/>
              <w:right w:val="single" w:sz="8" w:space="0" w:color="C2D69B"/>
            </w:tcBorders>
            <w:tcMar>
              <w:top w:w="0" w:type="dxa"/>
              <w:left w:w="108" w:type="dxa"/>
              <w:bottom w:w="0" w:type="dxa"/>
              <w:right w:w="108" w:type="dxa"/>
            </w:tcMar>
            <w:vAlign w:val="center"/>
            <w:hideMark/>
          </w:tcPr>
          <w:p w:rsidR="006F1156" w:rsidRDefault="006F1156" w:rsidP="006F1156">
            <w:pPr>
              <w:rPr>
                <w:rFonts w:ascii="Calibri" w:eastAsiaTheme="minorHAnsi" w:hAnsi="Calibri"/>
                <w:color w:val="595959"/>
                <w:szCs w:val="22"/>
                <w:lang w:eastAsia="en-US"/>
              </w:rPr>
            </w:pPr>
            <w:r>
              <w:rPr>
                <w:color w:val="595959"/>
              </w:rPr>
              <w:t>Descriptif des fonctionnalités d’une plateforme Internet de suivi de la facturation, des données de consommation et de coût dont ergonomie, capacités d’exportation et accès associés</w:t>
            </w:r>
          </w:p>
        </w:tc>
        <w:tc>
          <w:tcPr>
            <w:tcW w:w="1701" w:type="dxa"/>
            <w:tcBorders>
              <w:top w:val="nil"/>
              <w:left w:val="nil"/>
              <w:bottom w:val="single" w:sz="8" w:space="0" w:color="C2D69B"/>
              <w:right w:val="single" w:sz="8" w:space="0" w:color="C2D69B"/>
            </w:tcBorders>
            <w:tcMar>
              <w:top w:w="0" w:type="dxa"/>
              <w:left w:w="108" w:type="dxa"/>
              <w:bottom w:w="0" w:type="dxa"/>
              <w:right w:w="108" w:type="dxa"/>
            </w:tcMar>
            <w:vAlign w:val="center"/>
            <w:hideMark/>
          </w:tcPr>
          <w:p w:rsidR="006F1156" w:rsidRDefault="006F1156" w:rsidP="006F1156">
            <w:pPr>
              <w:jc w:val="center"/>
              <w:rPr>
                <w:rFonts w:ascii="Calibri" w:eastAsiaTheme="minorHAnsi" w:hAnsi="Calibri"/>
                <w:color w:val="595959"/>
                <w:szCs w:val="22"/>
                <w:lang w:eastAsia="en-US"/>
              </w:rPr>
            </w:pPr>
            <w:r>
              <w:rPr>
                <w:color w:val="595959"/>
              </w:rPr>
              <w:t>5%</w:t>
            </w:r>
          </w:p>
        </w:tc>
      </w:tr>
      <w:tr w:rsidR="006F1156" w:rsidTr="006F1156">
        <w:trPr>
          <w:trHeight w:val="58"/>
        </w:trPr>
        <w:tc>
          <w:tcPr>
            <w:tcW w:w="6345" w:type="dxa"/>
            <w:tcBorders>
              <w:top w:val="nil"/>
              <w:left w:val="single" w:sz="8" w:space="0" w:color="C2D69B"/>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rPr>
                <w:color w:val="595959"/>
                <w:szCs w:val="22"/>
              </w:rPr>
            </w:pPr>
            <w:r w:rsidRPr="000819B4">
              <w:rPr>
                <w:color w:val="595959"/>
              </w:rPr>
              <w:t xml:space="preserve">Modalités d’exécution des prestations avec le coordonnateur </w:t>
            </w:r>
          </w:p>
        </w:tc>
        <w:tc>
          <w:tcPr>
            <w:tcW w:w="1701" w:type="dxa"/>
            <w:tcBorders>
              <w:top w:val="nil"/>
              <w:left w:val="nil"/>
              <w:bottom w:val="single" w:sz="8" w:space="0" w:color="C2D69B"/>
              <w:right w:val="single" w:sz="8" w:space="0" w:color="C2D69B"/>
            </w:tcBorders>
            <w:shd w:val="clear" w:color="auto" w:fill="EAF1DD"/>
            <w:tcMar>
              <w:top w:w="0" w:type="dxa"/>
              <w:left w:w="108" w:type="dxa"/>
              <w:bottom w:w="0" w:type="dxa"/>
              <w:right w:w="108" w:type="dxa"/>
            </w:tcMar>
            <w:vAlign w:val="center"/>
            <w:hideMark/>
          </w:tcPr>
          <w:p w:rsidR="006F1156" w:rsidRDefault="006F1156" w:rsidP="006F1156">
            <w:pPr>
              <w:jc w:val="center"/>
              <w:rPr>
                <w:rFonts w:ascii="Calibri" w:eastAsiaTheme="minorHAnsi" w:hAnsi="Calibri"/>
                <w:color w:val="595959"/>
                <w:szCs w:val="22"/>
                <w:lang w:eastAsia="en-US"/>
              </w:rPr>
            </w:pPr>
            <w:r>
              <w:rPr>
                <w:color w:val="595959"/>
              </w:rPr>
              <w:t>35%</w:t>
            </w:r>
          </w:p>
        </w:tc>
      </w:tr>
    </w:tbl>
    <w:p w:rsidR="00AD3F7E" w:rsidRDefault="00AD3F7E" w:rsidP="00AD3F7E"/>
    <w:p w:rsidR="00AD3F7E" w:rsidRDefault="00AD3F7E" w:rsidP="00AD3F7E"/>
    <w:p w:rsidR="00AD3F7E" w:rsidRDefault="00AD3F7E" w:rsidP="00AD3F7E">
      <w:pPr>
        <w:rPr>
          <w:rFonts w:ascii="Calibri" w:eastAsiaTheme="minorHAnsi" w:hAnsi="Calibri"/>
          <w:color w:val="595959"/>
          <w:szCs w:val="22"/>
          <w:lang w:eastAsia="en-US"/>
        </w:rPr>
      </w:pPr>
    </w:p>
    <w:p w:rsidR="00AD3F7E" w:rsidRDefault="00AD3F7E" w:rsidP="00AD3F7E">
      <w:pPr>
        <w:rPr>
          <w:color w:val="595959"/>
        </w:rPr>
      </w:pPr>
    </w:p>
    <w:p w:rsidR="00AD3F7E" w:rsidRDefault="00AD3F7E" w:rsidP="00AD3F7E">
      <w:pPr>
        <w:rPr>
          <w:color w:val="595959"/>
        </w:rPr>
      </w:pPr>
    </w:p>
    <w:p w:rsidR="00AD3F7E" w:rsidRDefault="00AD3F7E" w:rsidP="00AD3F7E">
      <w:pPr>
        <w:rPr>
          <w:color w:val="595959"/>
        </w:rPr>
      </w:pPr>
    </w:p>
    <w:p w:rsidR="00AD3F7E" w:rsidRDefault="00AD3F7E" w:rsidP="00AD3F7E">
      <w:pPr>
        <w:rPr>
          <w:color w:val="595959"/>
        </w:rPr>
      </w:pPr>
    </w:p>
    <w:p w:rsidR="00AD3F7E" w:rsidRPr="006F1156" w:rsidRDefault="00AD3F7E" w:rsidP="006F1156">
      <w:pPr>
        <w:rPr>
          <w:rFonts w:ascii="Calibri" w:eastAsiaTheme="minorHAnsi" w:hAnsi="Calibri"/>
          <w:color w:val="595959"/>
          <w:szCs w:val="22"/>
          <w:lang w:eastAsia="en-US"/>
        </w:rPr>
      </w:pPr>
    </w:p>
    <w:p w:rsidR="00AD3F7E" w:rsidRPr="006F1156" w:rsidRDefault="00AD3F7E" w:rsidP="006F1156">
      <w:pPr>
        <w:rPr>
          <w:rFonts w:ascii="Calibri" w:eastAsiaTheme="minorHAnsi" w:hAnsi="Calibri"/>
          <w:color w:val="595959"/>
          <w:szCs w:val="22"/>
          <w:lang w:eastAsia="en-US"/>
        </w:rPr>
      </w:pPr>
    </w:p>
    <w:p w:rsidR="00AD3F7E" w:rsidRPr="006F1156" w:rsidRDefault="00AD3F7E" w:rsidP="006F1156">
      <w:pPr>
        <w:rPr>
          <w:rFonts w:ascii="Calibri" w:eastAsiaTheme="minorHAnsi" w:hAnsi="Calibri"/>
          <w:color w:val="595959"/>
          <w:szCs w:val="22"/>
          <w:lang w:eastAsia="en-US"/>
        </w:rPr>
      </w:pPr>
    </w:p>
    <w:p w:rsidR="00AD3F7E" w:rsidRPr="006F1156" w:rsidRDefault="00AD3F7E" w:rsidP="006F1156">
      <w:pPr>
        <w:rPr>
          <w:rFonts w:ascii="Calibri" w:eastAsiaTheme="minorHAnsi" w:hAnsi="Calibri"/>
          <w:color w:val="595959"/>
          <w:szCs w:val="22"/>
          <w:lang w:eastAsia="en-US"/>
        </w:rPr>
      </w:pPr>
    </w:p>
    <w:p w:rsidR="00AD3F7E" w:rsidRDefault="00AD3F7E" w:rsidP="006F1156">
      <w:r>
        <w:t>Pour les marchés subséquents, les critères d’attribution arrêtés sont :</w:t>
      </w:r>
    </w:p>
    <w:p w:rsidR="00AD3F7E" w:rsidRDefault="00AD3F7E" w:rsidP="006F1156"/>
    <w:tbl>
      <w:tblPr>
        <w:tblpPr w:leftFromText="141" w:rightFromText="141" w:vertAnchor="text" w:horzAnchor="margin" w:tblpXSpec="center" w:tblpY="-22"/>
        <w:tblW w:w="0" w:type="auto"/>
        <w:tblCellMar>
          <w:left w:w="0" w:type="dxa"/>
          <w:right w:w="0" w:type="dxa"/>
        </w:tblCellMar>
        <w:tblLook w:val="04A0" w:firstRow="1" w:lastRow="0" w:firstColumn="1" w:lastColumn="0" w:noHBand="0" w:noVBand="1"/>
      </w:tblPr>
      <w:tblGrid>
        <w:gridCol w:w="4389"/>
        <w:gridCol w:w="1842"/>
      </w:tblGrid>
      <w:tr w:rsidR="00AD3F7E" w:rsidTr="00C01B3F">
        <w:trPr>
          <w:trHeight w:val="58"/>
        </w:trPr>
        <w:tc>
          <w:tcPr>
            <w:tcW w:w="4389" w:type="dxa"/>
            <w:tcBorders>
              <w:top w:val="single" w:sz="8" w:space="0" w:color="9BBB59"/>
              <w:left w:val="single" w:sz="8" w:space="0" w:color="9BBB59"/>
              <w:bottom w:val="single" w:sz="8" w:space="0" w:color="9BBB59"/>
              <w:right w:val="nil"/>
            </w:tcBorders>
            <w:shd w:val="clear" w:color="auto" w:fill="D9D9D9"/>
            <w:tcMar>
              <w:top w:w="0" w:type="dxa"/>
              <w:left w:w="108" w:type="dxa"/>
              <w:bottom w:w="0" w:type="dxa"/>
              <w:right w:w="108" w:type="dxa"/>
            </w:tcMar>
            <w:vAlign w:val="center"/>
            <w:hideMark/>
          </w:tcPr>
          <w:p w:rsidR="00AD3F7E" w:rsidRDefault="00AD3F7E" w:rsidP="00C01B3F">
            <w:pPr>
              <w:jc w:val="center"/>
              <w:rPr>
                <w:rFonts w:ascii="Calibri" w:eastAsiaTheme="minorHAnsi" w:hAnsi="Calibri"/>
                <w:b/>
                <w:bCs/>
                <w:color w:val="595959"/>
                <w:szCs w:val="22"/>
                <w:lang w:eastAsia="en-US"/>
              </w:rPr>
            </w:pPr>
            <w:r>
              <w:rPr>
                <w:b/>
                <w:bCs/>
                <w:color w:val="595959"/>
              </w:rPr>
              <w:t>Critère</w:t>
            </w:r>
          </w:p>
        </w:tc>
        <w:tc>
          <w:tcPr>
            <w:tcW w:w="1842" w:type="dxa"/>
            <w:tcBorders>
              <w:top w:val="single" w:sz="8" w:space="0" w:color="9BBB59"/>
              <w:left w:val="nil"/>
              <w:bottom w:val="single" w:sz="8" w:space="0" w:color="9BBB59"/>
              <w:right w:val="single" w:sz="8" w:space="0" w:color="9BBB59"/>
            </w:tcBorders>
            <w:shd w:val="clear" w:color="auto" w:fill="D9D9D9"/>
            <w:tcMar>
              <w:top w:w="0" w:type="dxa"/>
              <w:left w:w="108" w:type="dxa"/>
              <w:bottom w:w="0" w:type="dxa"/>
              <w:right w:w="108" w:type="dxa"/>
            </w:tcMar>
            <w:vAlign w:val="center"/>
            <w:hideMark/>
          </w:tcPr>
          <w:p w:rsidR="00AD3F7E" w:rsidRDefault="00AD3F7E" w:rsidP="00C01B3F">
            <w:pPr>
              <w:jc w:val="center"/>
              <w:rPr>
                <w:rFonts w:ascii="Calibri" w:eastAsiaTheme="minorHAnsi" w:hAnsi="Calibri"/>
                <w:b/>
                <w:bCs/>
                <w:color w:val="595959"/>
                <w:szCs w:val="22"/>
                <w:lang w:eastAsia="en-US"/>
              </w:rPr>
            </w:pPr>
            <w:r>
              <w:rPr>
                <w:b/>
                <w:bCs/>
                <w:color w:val="595959"/>
              </w:rPr>
              <w:t>Pondération</w:t>
            </w:r>
          </w:p>
        </w:tc>
      </w:tr>
      <w:tr w:rsidR="00AD3F7E" w:rsidRPr="00867F8C" w:rsidTr="00C01B3F">
        <w:trPr>
          <w:trHeight w:val="298"/>
        </w:trPr>
        <w:tc>
          <w:tcPr>
            <w:tcW w:w="4389" w:type="dxa"/>
            <w:tcBorders>
              <w:top w:val="nil"/>
              <w:left w:val="single" w:sz="8" w:space="0" w:color="C2D69B"/>
              <w:bottom w:val="single" w:sz="8" w:space="0" w:color="C2D69B"/>
              <w:right w:val="single" w:sz="8" w:space="0" w:color="C2D69B"/>
            </w:tcBorders>
            <w:shd w:val="clear" w:color="auto" w:fill="EAF1DD"/>
            <w:tcMar>
              <w:top w:w="0" w:type="dxa"/>
              <w:left w:w="108" w:type="dxa"/>
              <w:bottom w:w="0" w:type="dxa"/>
              <w:right w:w="108" w:type="dxa"/>
            </w:tcMar>
            <w:hideMark/>
          </w:tcPr>
          <w:p w:rsidR="00AD3F7E" w:rsidRPr="00867F8C" w:rsidRDefault="00AD3F7E" w:rsidP="00C01B3F">
            <w:pPr>
              <w:pStyle w:val="Default"/>
              <w:rPr>
                <w:rFonts w:asciiTheme="minorHAnsi" w:hAnsiTheme="minorHAnsi" w:cstheme="minorHAnsi"/>
                <w:color w:val="595959"/>
                <w:sz w:val="22"/>
                <w:szCs w:val="22"/>
              </w:rPr>
            </w:pPr>
            <w:r w:rsidRPr="00867F8C">
              <w:rPr>
                <w:rFonts w:asciiTheme="minorHAnsi" w:hAnsiTheme="minorHAnsi" w:cstheme="minorHAnsi"/>
                <w:color w:val="595959"/>
                <w:sz w:val="22"/>
                <w:szCs w:val="22"/>
              </w:rPr>
              <w:t xml:space="preserve">Valeur économique de l’offre (note NP) </w:t>
            </w:r>
          </w:p>
        </w:tc>
        <w:tc>
          <w:tcPr>
            <w:tcW w:w="1842" w:type="dxa"/>
            <w:tcBorders>
              <w:top w:val="nil"/>
              <w:left w:val="nil"/>
              <w:bottom w:val="single" w:sz="8" w:space="0" w:color="C2D69B"/>
              <w:right w:val="single" w:sz="8" w:space="0" w:color="C2D69B"/>
            </w:tcBorders>
            <w:shd w:val="clear" w:color="auto" w:fill="EAF1DD"/>
            <w:tcMar>
              <w:top w:w="0" w:type="dxa"/>
              <w:left w:w="108" w:type="dxa"/>
              <w:bottom w:w="0" w:type="dxa"/>
              <w:right w:w="108" w:type="dxa"/>
            </w:tcMar>
            <w:hideMark/>
          </w:tcPr>
          <w:p w:rsidR="00AD3F7E" w:rsidRPr="00867F8C" w:rsidRDefault="00AD3F7E" w:rsidP="00C01B3F">
            <w:pPr>
              <w:pStyle w:val="Default"/>
              <w:jc w:val="center"/>
              <w:rPr>
                <w:rFonts w:asciiTheme="minorHAnsi" w:hAnsiTheme="minorHAnsi" w:cstheme="minorHAnsi"/>
                <w:color w:val="595959"/>
                <w:sz w:val="22"/>
                <w:szCs w:val="22"/>
              </w:rPr>
            </w:pPr>
            <w:r w:rsidRPr="00867F8C">
              <w:rPr>
                <w:rFonts w:asciiTheme="minorHAnsi" w:hAnsiTheme="minorHAnsi" w:cstheme="minorHAnsi"/>
                <w:color w:val="595959"/>
                <w:sz w:val="22"/>
                <w:szCs w:val="22"/>
              </w:rPr>
              <w:t xml:space="preserve">80% </w:t>
            </w:r>
          </w:p>
        </w:tc>
      </w:tr>
      <w:tr w:rsidR="00AD3F7E" w:rsidRPr="00867F8C" w:rsidTr="00C01B3F">
        <w:trPr>
          <w:trHeight w:val="58"/>
        </w:trPr>
        <w:tc>
          <w:tcPr>
            <w:tcW w:w="4389" w:type="dxa"/>
            <w:tcBorders>
              <w:top w:val="nil"/>
              <w:left w:val="single" w:sz="8" w:space="0" w:color="C2D69B"/>
              <w:bottom w:val="single" w:sz="8" w:space="0" w:color="C2D69B"/>
              <w:right w:val="single" w:sz="8" w:space="0" w:color="C2D69B"/>
            </w:tcBorders>
            <w:tcMar>
              <w:top w:w="0" w:type="dxa"/>
              <w:left w:w="108" w:type="dxa"/>
              <w:bottom w:w="0" w:type="dxa"/>
              <w:right w:w="108" w:type="dxa"/>
            </w:tcMar>
            <w:hideMark/>
          </w:tcPr>
          <w:p w:rsidR="00AD3F7E" w:rsidRPr="00867F8C" w:rsidRDefault="00AD3F7E" w:rsidP="00C01B3F">
            <w:pPr>
              <w:pStyle w:val="Default"/>
              <w:rPr>
                <w:rFonts w:asciiTheme="minorHAnsi" w:hAnsiTheme="minorHAnsi" w:cstheme="minorHAnsi"/>
                <w:color w:val="595959"/>
                <w:sz w:val="22"/>
                <w:szCs w:val="22"/>
              </w:rPr>
            </w:pPr>
            <w:r w:rsidRPr="00867F8C">
              <w:rPr>
                <w:rFonts w:asciiTheme="minorHAnsi" w:hAnsiTheme="minorHAnsi" w:cstheme="minorHAnsi"/>
                <w:color w:val="595959"/>
                <w:sz w:val="22"/>
                <w:szCs w:val="22"/>
              </w:rPr>
              <w:t xml:space="preserve">Valeur technique de l’offre (note NT) </w:t>
            </w:r>
          </w:p>
        </w:tc>
        <w:tc>
          <w:tcPr>
            <w:tcW w:w="1842" w:type="dxa"/>
            <w:tcBorders>
              <w:top w:val="nil"/>
              <w:left w:val="nil"/>
              <w:bottom w:val="single" w:sz="8" w:space="0" w:color="C2D69B"/>
              <w:right w:val="single" w:sz="8" w:space="0" w:color="C2D69B"/>
            </w:tcBorders>
            <w:tcMar>
              <w:top w:w="0" w:type="dxa"/>
              <w:left w:w="108" w:type="dxa"/>
              <w:bottom w:w="0" w:type="dxa"/>
              <w:right w:w="108" w:type="dxa"/>
            </w:tcMar>
            <w:hideMark/>
          </w:tcPr>
          <w:p w:rsidR="00AD3F7E" w:rsidRPr="00867F8C" w:rsidRDefault="00AD3F7E" w:rsidP="00C01B3F">
            <w:pPr>
              <w:pStyle w:val="Default"/>
              <w:jc w:val="center"/>
              <w:rPr>
                <w:rFonts w:asciiTheme="minorHAnsi" w:hAnsiTheme="minorHAnsi" w:cstheme="minorHAnsi"/>
                <w:color w:val="595959"/>
                <w:sz w:val="22"/>
                <w:szCs w:val="22"/>
              </w:rPr>
            </w:pPr>
            <w:r w:rsidRPr="00867F8C">
              <w:rPr>
                <w:rFonts w:asciiTheme="minorHAnsi" w:hAnsiTheme="minorHAnsi" w:cstheme="minorHAnsi"/>
                <w:color w:val="595959"/>
                <w:sz w:val="22"/>
                <w:szCs w:val="22"/>
              </w:rPr>
              <w:t xml:space="preserve">20% </w:t>
            </w:r>
          </w:p>
        </w:tc>
      </w:tr>
    </w:tbl>
    <w:p w:rsidR="00AD3F7E" w:rsidRDefault="00AD3F7E" w:rsidP="00AD3F7E">
      <w:pPr>
        <w:pStyle w:val="Style1"/>
        <w:rPr>
          <w:rFonts w:eastAsiaTheme="minorHAnsi"/>
        </w:rPr>
      </w:pPr>
    </w:p>
    <w:p w:rsidR="00AD3F7E" w:rsidRDefault="00AD3F7E" w:rsidP="006F1156">
      <w:r>
        <w:t xml:space="preserve">Par ailleurs, les prix de la </w:t>
      </w:r>
      <w:r>
        <w:lastRenderedPageBreak/>
        <w:t>fourniture des marchés subséquents pourront être, selon le choix du coordonnateur du groupement, qui sera précisé lors du lancement des marchés subséquents :</w:t>
      </w:r>
    </w:p>
    <w:p w:rsidR="00AD3F7E" w:rsidRDefault="00AD3F7E" w:rsidP="00AD3F7E">
      <w:pPr>
        <w:pStyle w:val="Default"/>
        <w:numPr>
          <w:ilvl w:val="0"/>
          <w:numId w:val="25"/>
        </w:numPr>
        <w:adjustRightInd/>
        <w:spacing w:before="80"/>
        <w:jc w:val="both"/>
        <w:rPr>
          <w:color w:val="auto"/>
          <w:sz w:val="22"/>
          <w:szCs w:val="22"/>
        </w:rPr>
      </w:pPr>
      <w:r w:rsidRPr="003755DE">
        <w:rPr>
          <w:rFonts w:asciiTheme="minorHAnsi" w:hAnsiTheme="minorHAnsi"/>
          <w:b/>
          <w:bCs/>
          <w:color w:val="auto"/>
          <w:sz w:val="22"/>
          <w:szCs w:val="22"/>
        </w:rPr>
        <w:t>Fermes</w:t>
      </w:r>
      <w:r>
        <w:rPr>
          <w:b/>
          <w:bCs/>
          <w:color w:val="auto"/>
          <w:sz w:val="22"/>
          <w:szCs w:val="22"/>
        </w:rPr>
        <w:t xml:space="preserve"> </w:t>
      </w:r>
      <w:r>
        <w:rPr>
          <w:color w:val="auto"/>
          <w:sz w:val="22"/>
          <w:szCs w:val="22"/>
        </w:rPr>
        <w:t xml:space="preserve">: </w:t>
      </w:r>
    </w:p>
    <w:p w:rsidR="00AD3F7E" w:rsidRPr="003755DE" w:rsidRDefault="00AD3F7E" w:rsidP="00AD3F7E">
      <w:pPr>
        <w:pStyle w:val="Default"/>
        <w:numPr>
          <w:ilvl w:val="2"/>
          <w:numId w:val="25"/>
        </w:numPr>
        <w:adjustRightInd/>
        <w:spacing w:before="80"/>
        <w:jc w:val="both"/>
        <w:rPr>
          <w:rFonts w:asciiTheme="minorHAnsi" w:hAnsiTheme="minorHAnsi"/>
          <w:sz w:val="22"/>
          <w:szCs w:val="22"/>
        </w:rPr>
      </w:pPr>
      <w:r w:rsidRPr="003755DE">
        <w:rPr>
          <w:rFonts w:asciiTheme="minorHAnsi" w:hAnsiTheme="minorHAnsi"/>
          <w:b/>
          <w:bCs/>
          <w:sz w:val="22"/>
          <w:szCs w:val="22"/>
        </w:rPr>
        <w:t xml:space="preserve">déterminés </w:t>
      </w:r>
      <w:r w:rsidRPr="003755DE">
        <w:rPr>
          <w:rFonts w:asciiTheme="minorHAnsi" w:hAnsiTheme="minorHAnsi"/>
          <w:sz w:val="22"/>
          <w:szCs w:val="22"/>
        </w:rPr>
        <w:t xml:space="preserve">le jour de la remise de l’offre du marché subséquent ; </w:t>
      </w:r>
    </w:p>
    <w:p w:rsidR="00AD3F7E" w:rsidRPr="003755DE" w:rsidRDefault="00AD3F7E" w:rsidP="00AD3F7E">
      <w:pPr>
        <w:pStyle w:val="Default"/>
        <w:numPr>
          <w:ilvl w:val="2"/>
          <w:numId w:val="25"/>
        </w:numPr>
        <w:adjustRightInd/>
        <w:spacing w:before="60"/>
        <w:jc w:val="both"/>
        <w:rPr>
          <w:rFonts w:asciiTheme="minorHAnsi" w:hAnsiTheme="minorHAnsi"/>
          <w:sz w:val="22"/>
          <w:szCs w:val="22"/>
        </w:rPr>
      </w:pPr>
      <w:r w:rsidRPr="003755DE">
        <w:rPr>
          <w:rFonts w:asciiTheme="minorHAnsi" w:hAnsiTheme="minorHAnsi"/>
          <w:b/>
          <w:bCs/>
          <w:sz w:val="22"/>
          <w:szCs w:val="22"/>
        </w:rPr>
        <w:t>ET/OU déterminables</w:t>
      </w:r>
      <w:r w:rsidRPr="003755DE">
        <w:rPr>
          <w:rFonts w:asciiTheme="minorHAnsi" w:hAnsiTheme="minorHAnsi"/>
          <w:sz w:val="22"/>
          <w:szCs w:val="22"/>
        </w:rPr>
        <w:t xml:space="preserve">, pour une période et un volume qui seront précisés dans le marché subséquent, par ordre de service, </w:t>
      </w:r>
      <w:r w:rsidRPr="003755DE">
        <w:rPr>
          <w:rFonts w:asciiTheme="minorHAnsi" w:hAnsiTheme="minorHAnsi"/>
          <w:b/>
          <w:bCs/>
          <w:sz w:val="22"/>
          <w:szCs w:val="22"/>
        </w:rPr>
        <w:t xml:space="preserve">selon une formule de fixation </w:t>
      </w:r>
      <w:r w:rsidRPr="003755DE">
        <w:rPr>
          <w:rFonts w:asciiTheme="minorHAnsi" w:hAnsiTheme="minorHAnsi"/>
          <w:sz w:val="22"/>
          <w:szCs w:val="22"/>
        </w:rPr>
        <w:t xml:space="preserve">dont les prises de positions pourront être, le cas échéant, </w:t>
      </w:r>
      <w:r>
        <w:rPr>
          <w:rFonts w:asciiTheme="minorHAnsi" w:hAnsiTheme="minorHAnsi"/>
          <w:sz w:val="22"/>
          <w:szCs w:val="22"/>
        </w:rPr>
        <w:t>encadrées</w:t>
      </w:r>
      <w:r w:rsidRPr="003755DE">
        <w:rPr>
          <w:rFonts w:asciiTheme="minorHAnsi" w:hAnsiTheme="minorHAnsi"/>
          <w:sz w:val="22"/>
          <w:szCs w:val="22"/>
        </w:rPr>
        <w:t xml:space="preserve"> par un tunnel de prix dans les conditions précisées au stade des marchés subséquents. </w:t>
      </w:r>
    </w:p>
    <w:p w:rsidR="00AD3F7E" w:rsidRPr="003755DE" w:rsidRDefault="00AD3F7E" w:rsidP="00AD3F7E">
      <w:pPr>
        <w:pStyle w:val="Default"/>
        <w:numPr>
          <w:ilvl w:val="0"/>
          <w:numId w:val="25"/>
        </w:numPr>
        <w:adjustRightInd/>
        <w:spacing w:before="80"/>
        <w:jc w:val="both"/>
        <w:rPr>
          <w:rFonts w:asciiTheme="minorHAnsi" w:hAnsiTheme="minorHAnsi"/>
          <w:sz w:val="22"/>
          <w:szCs w:val="22"/>
        </w:rPr>
      </w:pPr>
      <w:r w:rsidRPr="003755DE">
        <w:rPr>
          <w:rFonts w:asciiTheme="minorHAnsi" w:hAnsiTheme="minorHAnsi"/>
          <w:sz w:val="22"/>
          <w:szCs w:val="22"/>
        </w:rPr>
        <w:t xml:space="preserve">OU </w:t>
      </w:r>
      <w:r w:rsidRPr="003755DE">
        <w:rPr>
          <w:rFonts w:asciiTheme="minorHAnsi" w:hAnsiTheme="minorHAnsi"/>
          <w:b/>
          <w:bCs/>
          <w:sz w:val="22"/>
          <w:szCs w:val="22"/>
        </w:rPr>
        <w:t xml:space="preserve">Révisables </w:t>
      </w:r>
      <w:r w:rsidRPr="003755DE">
        <w:rPr>
          <w:rFonts w:asciiTheme="minorHAnsi" w:hAnsiTheme="minorHAnsi"/>
          <w:sz w:val="22"/>
          <w:szCs w:val="22"/>
        </w:rPr>
        <w:t xml:space="preserve">mensuellement avec possibilité de SWAP vers un prix ferme. </w:t>
      </w:r>
    </w:p>
    <w:p w:rsidR="00AD3F7E" w:rsidRDefault="00AD3F7E" w:rsidP="00AD3F7E">
      <w:pPr>
        <w:rPr>
          <w:szCs w:val="22"/>
        </w:rPr>
      </w:pPr>
    </w:p>
    <w:p w:rsidR="00AD3F7E" w:rsidRDefault="006F1156" w:rsidP="00AD3F7E">
      <w:r>
        <w:t>Après délibération, le</w:t>
      </w:r>
      <w:r w:rsidR="00AD3F7E">
        <w:t xml:space="preserve"> Comité syndical</w:t>
      </w:r>
      <w:r>
        <w:t>, à l’unanimité, décide de</w:t>
      </w:r>
      <w:r w:rsidR="00AD3F7E">
        <w:t xml:space="preserve"> : </w:t>
      </w:r>
    </w:p>
    <w:p w:rsidR="00AD3F7E" w:rsidRDefault="00AD3F7E" w:rsidP="00AD3F7E">
      <w:pPr>
        <w:pStyle w:val="Paragraphedeliste"/>
        <w:numPr>
          <w:ilvl w:val="0"/>
          <w:numId w:val="26"/>
        </w:numPr>
        <w:spacing w:line="240" w:lineRule="auto"/>
        <w:rPr>
          <w:rFonts w:ascii="Calibri" w:hAnsi="Calibri"/>
          <w:szCs w:val="22"/>
        </w:rPr>
      </w:pPr>
      <w:r>
        <w:rPr>
          <w:rFonts w:ascii="Calibri" w:hAnsi="Calibri"/>
          <w:szCs w:val="22"/>
        </w:rPr>
        <w:t>prendre acte des critères de notation des accords-cadres et marchés subséquents arrêtés par le Président conformément à la délibération n°20190702_COM_08 ;</w:t>
      </w:r>
    </w:p>
    <w:p w:rsidR="00AD3F7E" w:rsidRDefault="00AD3F7E" w:rsidP="00AD3F7E">
      <w:pPr>
        <w:pStyle w:val="Paragraphedeliste"/>
        <w:numPr>
          <w:ilvl w:val="0"/>
          <w:numId w:val="26"/>
        </w:numPr>
        <w:spacing w:line="240" w:lineRule="auto"/>
        <w:rPr>
          <w:rFonts w:ascii="Calibri" w:hAnsi="Calibri"/>
          <w:szCs w:val="22"/>
        </w:rPr>
      </w:pPr>
      <w:r>
        <w:rPr>
          <w:rFonts w:ascii="Calibri" w:hAnsi="Calibri"/>
          <w:szCs w:val="22"/>
        </w:rPr>
        <w:t>autoriser le Président à signer les accords-cadres, après analyse des offres et validation par la CAO, et tous les documents y afférents ;</w:t>
      </w:r>
    </w:p>
    <w:p w:rsidR="00AD3F7E" w:rsidRDefault="00AD3F7E" w:rsidP="00AD3F7E">
      <w:pPr>
        <w:pStyle w:val="Paragraphedeliste"/>
        <w:numPr>
          <w:ilvl w:val="0"/>
          <w:numId w:val="26"/>
        </w:numPr>
        <w:spacing w:line="240" w:lineRule="auto"/>
        <w:rPr>
          <w:rFonts w:ascii="Calibri" w:hAnsi="Calibri"/>
          <w:szCs w:val="22"/>
        </w:rPr>
      </w:pPr>
      <w:r>
        <w:rPr>
          <w:rFonts w:ascii="Calibri" w:hAnsi="Calibri"/>
          <w:szCs w:val="22"/>
        </w:rPr>
        <w:t>autoriser le Président à lancer les consultations et à signer ou, le cas échéant, déclarer sans suite pour motif d’intérêt général les marchés subséquents issus de ces différents accords-cadres, et tous les documents y afférents y compris les pièces nécessaires à la fixation des prix de fourniture marchés (prises de positions, révision des prix, etc.).</w:t>
      </w:r>
    </w:p>
    <w:p w:rsidR="00974516" w:rsidRDefault="00974516" w:rsidP="00974516">
      <w:pPr>
        <w:rPr>
          <w:rFonts w:ascii="Venacti Sb" w:hAnsi="Venacti Sb"/>
          <w:bCs/>
          <w:color w:val="FFFFFF"/>
          <w:sz w:val="26"/>
          <w:szCs w:val="26"/>
          <w:lang w:eastAsia="en-US"/>
        </w:rPr>
      </w:pPr>
    </w:p>
    <w:p w:rsidR="001067B1" w:rsidRPr="00974516" w:rsidRDefault="001067B1" w:rsidP="00974516">
      <w:pPr>
        <w:rPr>
          <w:rFonts w:ascii="Venacti Sb" w:hAnsi="Venacti Sb"/>
          <w:bCs/>
          <w:color w:val="FFFFFF"/>
          <w:sz w:val="26"/>
          <w:szCs w:val="26"/>
          <w:lang w:eastAsia="en-US"/>
        </w:rPr>
      </w:pPr>
    </w:p>
    <w:p w:rsidR="00BA304E" w:rsidRDefault="00BA304E"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BA304E">
        <w:rPr>
          <w:rFonts w:ascii="Venacti Sb" w:hAnsi="Venacti Sb"/>
          <w:bCs/>
          <w:color w:val="FFFFFF"/>
          <w:sz w:val="26"/>
          <w:szCs w:val="26"/>
          <w:lang w:eastAsia="en-US"/>
        </w:rPr>
        <w:t>Information des attributions exercées par le bureau par délégation du comité</w:t>
      </w:r>
    </w:p>
    <w:p w:rsidR="00BA304E" w:rsidRDefault="00BA304E" w:rsidP="00974516">
      <w:pPr>
        <w:rPr>
          <w:rFonts w:ascii="Venacti Sb" w:hAnsi="Venacti Sb"/>
          <w:bCs/>
          <w:color w:val="FFFFFF"/>
          <w:sz w:val="26"/>
          <w:szCs w:val="26"/>
          <w:lang w:eastAsia="en-US"/>
        </w:rPr>
      </w:pPr>
    </w:p>
    <w:p w:rsidR="00974516" w:rsidRPr="003717E6" w:rsidRDefault="00974516" w:rsidP="00974516">
      <w:pPr>
        <w:rPr>
          <w:color w:val="454546" w:themeColor="text2" w:themeShade="80"/>
          <w:szCs w:val="22"/>
        </w:rPr>
      </w:pPr>
      <w:r w:rsidRPr="003717E6">
        <w:rPr>
          <w:color w:val="454546" w:themeColor="text2" w:themeShade="80"/>
          <w:szCs w:val="22"/>
        </w:rPr>
        <w:t>Le Comité syndical a délégué au bureau certaines de ses attributions. Conformément à l’article L. 5211-10 du Code Général des Collectivités Territoriales, le président rend compte des travaux et des attributions du bureau exercées par délégation de l’organe délibérant.</w:t>
      </w:r>
    </w:p>
    <w:p w:rsidR="00974516" w:rsidRPr="003717E6" w:rsidRDefault="00974516" w:rsidP="00974516">
      <w:pPr>
        <w:rPr>
          <w:color w:val="454546" w:themeColor="text2" w:themeShade="80"/>
          <w:szCs w:val="22"/>
        </w:rPr>
      </w:pPr>
    </w:p>
    <w:p w:rsidR="00974516" w:rsidRPr="003717E6" w:rsidRDefault="00974516" w:rsidP="00974516">
      <w:pPr>
        <w:pStyle w:val="Paragraphedeliste"/>
        <w:numPr>
          <w:ilvl w:val="0"/>
          <w:numId w:val="8"/>
        </w:numPr>
        <w:spacing w:line="240" w:lineRule="auto"/>
        <w:rPr>
          <w:color w:val="454546" w:themeColor="text2" w:themeShade="80"/>
          <w:szCs w:val="22"/>
        </w:rPr>
      </w:pPr>
      <w:r w:rsidRPr="003717E6">
        <w:rPr>
          <w:rFonts w:ascii="Calibri" w:hAnsi="Calibri"/>
          <w:color w:val="454546" w:themeColor="text2" w:themeShade="80"/>
          <w:szCs w:val="22"/>
          <w:u w:val="single"/>
        </w:rPr>
        <w:t>Attribution de subventions diverses pour travaux</w:t>
      </w:r>
      <w:r w:rsidRPr="003717E6">
        <w:rPr>
          <w:rFonts w:ascii="Calibri" w:hAnsi="Calibri"/>
          <w:color w:val="454546" w:themeColor="text2" w:themeShade="80"/>
          <w:szCs w:val="22"/>
        </w:rPr>
        <w:t xml:space="preserve"> – (Bureau du </w:t>
      </w:r>
      <w:r w:rsidR="001067B1">
        <w:rPr>
          <w:rFonts w:ascii="Calibri" w:hAnsi="Calibri"/>
          <w:color w:val="454546" w:themeColor="text2" w:themeShade="80"/>
          <w:szCs w:val="22"/>
        </w:rPr>
        <w:t xml:space="preserve">2 juillet </w:t>
      </w:r>
      <w:r w:rsidRPr="003717E6">
        <w:rPr>
          <w:rFonts w:ascii="Calibri" w:hAnsi="Calibri"/>
          <w:color w:val="454546" w:themeColor="text2" w:themeShade="80"/>
          <w:szCs w:val="22"/>
        </w:rPr>
        <w:t>2019) :</w:t>
      </w:r>
    </w:p>
    <w:p w:rsidR="00974516" w:rsidRDefault="00974516" w:rsidP="00974516">
      <w:pPr>
        <w:rPr>
          <w:szCs w:val="22"/>
        </w:rPr>
      </w:pPr>
    </w:p>
    <w:p w:rsidR="00974516" w:rsidRPr="00974516" w:rsidRDefault="00974516" w:rsidP="00974516">
      <w:pPr>
        <w:rPr>
          <w:rFonts w:ascii="Venacti Sb" w:hAnsi="Venacti Sb"/>
          <w:bCs/>
          <w:color w:val="FFFFFF"/>
          <w:sz w:val="26"/>
          <w:szCs w:val="26"/>
          <w:lang w:eastAsia="en-US"/>
        </w:rPr>
      </w:pPr>
    </w:p>
    <w:p w:rsidR="00BA304E" w:rsidRDefault="00BA304E"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BA304E">
        <w:rPr>
          <w:rFonts w:ascii="Venacti Sb" w:hAnsi="Venacti Sb"/>
          <w:bCs/>
          <w:color w:val="FFFFFF"/>
          <w:sz w:val="26"/>
          <w:szCs w:val="26"/>
          <w:lang w:eastAsia="en-US"/>
        </w:rPr>
        <w:t>Information des attributions exercées par le président par délégation du comité</w:t>
      </w:r>
    </w:p>
    <w:p w:rsidR="00BA304E" w:rsidRDefault="00BA304E" w:rsidP="00BA304E">
      <w:pPr>
        <w:pStyle w:val="Paragraphedeliste"/>
        <w:rPr>
          <w:rFonts w:ascii="Venacti Sb" w:hAnsi="Venacti Sb"/>
          <w:bCs/>
          <w:color w:val="FFFFFF"/>
          <w:sz w:val="26"/>
          <w:szCs w:val="26"/>
          <w:lang w:eastAsia="en-US"/>
        </w:rPr>
      </w:pPr>
    </w:p>
    <w:p w:rsidR="00974516" w:rsidRPr="003717E6" w:rsidRDefault="00974516" w:rsidP="00974516">
      <w:pPr>
        <w:rPr>
          <w:color w:val="454546" w:themeColor="text2" w:themeShade="80"/>
          <w:szCs w:val="22"/>
        </w:rPr>
      </w:pPr>
      <w:r w:rsidRPr="003717E6">
        <w:rPr>
          <w:color w:val="454546" w:themeColor="text2" w:themeShade="80"/>
          <w:szCs w:val="22"/>
        </w:rPr>
        <w:t>Le comité syndical a délégué au Président certaines de ses attributions. Conformément à l’article L. 5211-10 du Code Général des Collectivités Territoriales, le président rend compte des attributions exercées par délégation de l’organe délibérant.</w:t>
      </w:r>
    </w:p>
    <w:p w:rsidR="00974516" w:rsidRPr="003717E6" w:rsidRDefault="00974516" w:rsidP="00974516">
      <w:pPr>
        <w:rPr>
          <w:color w:val="454546" w:themeColor="text2" w:themeShade="80"/>
          <w:szCs w:val="22"/>
        </w:rPr>
      </w:pPr>
    </w:p>
    <w:p w:rsidR="00974516" w:rsidRPr="003717E6" w:rsidRDefault="00974516" w:rsidP="00974516">
      <w:pPr>
        <w:pStyle w:val="Paragraphedeliste"/>
        <w:numPr>
          <w:ilvl w:val="0"/>
          <w:numId w:val="9"/>
        </w:numPr>
        <w:tabs>
          <w:tab w:val="left" w:pos="-5103"/>
        </w:tabs>
        <w:spacing w:line="240" w:lineRule="auto"/>
        <w:rPr>
          <w:color w:val="454546" w:themeColor="text2" w:themeShade="80"/>
          <w:szCs w:val="22"/>
          <w:u w:val="single"/>
        </w:rPr>
      </w:pPr>
      <w:r w:rsidRPr="003717E6">
        <w:rPr>
          <w:color w:val="454546" w:themeColor="text2" w:themeShade="80"/>
          <w:szCs w:val="22"/>
          <w:u w:val="single"/>
        </w:rPr>
        <w:t>Achats inférieurs à 2 000 €</w:t>
      </w:r>
    </w:p>
    <w:p w:rsidR="00974516" w:rsidRPr="003717E6" w:rsidRDefault="00974516" w:rsidP="00974516">
      <w:pPr>
        <w:tabs>
          <w:tab w:val="left" w:pos="-5103"/>
        </w:tabs>
        <w:rPr>
          <w:color w:val="454546" w:themeColor="text2" w:themeShade="80"/>
          <w:szCs w:val="22"/>
        </w:rPr>
      </w:pPr>
      <w:r w:rsidRPr="003717E6">
        <w:rPr>
          <w:color w:val="454546" w:themeColor="text2" w:themeShade="80"/>
          <w:szCs w:val="22"/>
        </w:rPr>
        <w:t>La liste détaillée des achats inférieurs à 2 000 € est consultable sur demande aux services du SDE35.</w:t>
      </w:r>
    </w:p>
    <w:p w:rsidR="00974516" w:rsidRPr="003717E6" w:rsidRDefault="00974516" w:rsidP="00974516">
      <w:pPr>
        <w:tabs>
          <w:tab w:val="left" w:pos="-5103"/>
        </w:tabs>
        <w:rPr>
          <w:color w:val="454546" w:themeColor="text2" w:themeShade="80"/>
          <w:szCs w:val="22"/>
        </w:rPr>
      </w:pPr>
    </w:p>
    <w:p w:rsidR="00974516" w:rsidRDefault="00974516" w:rsidP="00974516">
      <w:pPr>
        <w:pStyle w:val="Paragraphedeliste"/>
        <w:numPr>
          <w:ilvl w:val="0"/>
          <w:numId w:val="9"/>
        </w:numPr>
        <w:tabs>
          <w:tab w:val="left" w:pos="-5103"/>
        </w:tabs>
        <w:spacing w:line="240" w:lineRule="auto"/>
        <w:rPr>
          <w:color w:val="454546" w:themeColor="text2" w:themeShade="80"/>
          <w:szCs w:val="22"/>
          <w:u w:val="single"/>
        </w:rPr>
      </w:pPr>
      <w:r w:rsidRPr="003717E6">
        <w:rPr>
          <w:color w:val="454546" w:themeColor="text2" w:themeShade="80"/>
          <w:szCs w:val="22"/>
          <w:u w:val="single"/>
        </w:rPr>
        <w:t>Achats supérieurs à 2 000 €</w:t>
      </w:r>
    </w:p>
    <w:p w:rsidR="00974516" w:rsidRDefault="00974516" w:rsidP="00974516">
      <w:pPr>
        <w:pStyle w:val="Paragraphedeliste"/>
        <w:tabs>
          <w:tab w:val="left" w:pos="-5103"/>
        </w:tabs>
        <w:spacing w:line="240" w:lineRule="auto"/>
        <w:ind w:left="1440"/>
        <w:rPr>
          <w:color w:val="454546" w:themeColor="text2" w:themeShade="80"/>
          <w:szCs w:val="22"/>
          <w:u w:val="single"/>
        </w:rPr>
      </w:pPr>
    </w:p>
    <w:tbl>
      <w:tblPr>
        <w:tblStyle w:val="Grilledutableau"/>
        <w:tblW w:w="0" w:type="auto"/>
        <w:tblInd w:w="448" w:type="dxa"/>
        <w:tblLook w:val="04A0" w:firstRow="1" w:lastRow="0" w:firstColumn="1" w:lastColumn="0" w:noHBand="0" w:noVBand="1"/>
      </w:tblPr>
      <w:tblGrid>
        <w:gridCol w:w="1220"/>
        <w:gridCol w:w="2835"/>
        <w:gridCol w:w="3260"/>
        <w:gridCol w:w="1134"/>
      </w:tblGrid>
      <w:tr w:rsidR="001067B1" w:rsidTr="001067B1">
        <w:tc>
          <w:tcPr>
            <w:tcW w:w="1220" w:type="dxa"/>
            <w:shd w:val="clear" w:color="auto" w:fill="BFBFBF" w:themeFill="background1" w:themeFillShade="BF"/>
          </w:tcPr>
          <w:p w:rsidR="001067B1" w:rsidRPr="00E766C8" w:rsidRDefault="001067B1" w:rsidP="000B4E68">
            <w:pPr>
              <w:tabs>
                <w:tab w:val="left" w:pos="-5103"/>
              </w:tabs>
              <w:rPr>
                <w:rFonts w:asciiTheme="minorHAnsi" w:hAnsiTheme="minorHAnsi"/>
                <w:sz w:val="22"/>
                <w:szCs w:val="22"/>
              </w:rPr>
            </w:pPr>
            <w:r w:rsidRPr="00E766C8">
              <w:rPr>
                <w:rFonts w:asciiTheme="minorHAnsi" w:hAnsiTheme="minorHAnsi"/>
                <w:sz w:val="22"/>
                <w:szCs w:val="22"/>
              </w:rPr>
              <w:t>Date</w:t>
            </w:r>
          </w:p>
        </w:tc>
        <w:tc>
          <w:tcPr>
            <w:tcW w:w="2835" w:type="dxa"/>
            <w:shd w:val="clear" w:color="auto" w:fill="BFBFBF" w:themeFill="background1" w:themeFillShade="BF"/>
          </w:tcPr>
          <w:p w:rsidR="001067B1" w:rsidRPr="00E766C8" w:rsidRDefault="001067B1" w:rsidP="000B4E68">
            <w:pPr>
              <w:tabs>
                <w:tab w:val="left" w:pos="-5103"/>
              </w:tabs>
              <w:rPr>
                <w:rFonts w:asciiTheme="minorHAnsi" w:hAnsiTheme="minorHAnsi"/>
                <w:sz w:val="22"/>
                <w:szCs w:val="22"/>
              </w:rPr>
            </w:pPr>
            <w:r w:rsidRPr="00E766C8">
              <w:rPr>
                <w:rFonts w:asciiTheme="minorHAnsi" w:hAnsiTheme="minorHAnsi"/>
                <w:sz w:val="22"/>
                <w:szCs w:val="22"/>
              </w:rPr>
              <w:t>Tiers</w:t>
            </w:r>
          </w:p>
        </w:tc>
        <w:tc>
          <w:tcPr>
            <w:tcW w:w="3260" w:type="dxa"/>
            <w:shd w:val="clear" w:color="auto" w:fill="BFBFBF" w:themeFill="background1" w:themeFillShade="BF"/>
          </w:tcPr>
          <w:p w:rsidR="001067B1" w:rsidRPr="00E766C8" w:rsidRDefault="001067B1" w:rsidP="000B4E68">
            <w:pPr>
              <w:tabs>
                <w:tab w:val="left" w:pos="-5103"/>
              </w:tabs>
              <w:rPr>
                <w:rFonts w:asciiTheme="minorHAnsi" w:hAnsiTheme="minorHAnsi"/>
                <w:sz w:val="22"/>
                <w:szCs w:val="22"/>
              </w:rPr>
            </w:pPr>
            <w:r w:rsidRPr="00E766C8">
              <w:rPr>
                <w:rFonts w:asciiTheme="minorHAnsi" w:hAnsiTheme="minorHAnsi"/>
                <w:sz w:val="22"/>
                <w:szCs w:val="22"/>
              </w:rPr>
              <w:t>Objet</w:t>
            </w:r>
          </w:p>
        </w:tc>
        <w:tc>
          <w:tcPr>
            <w:tcW w:w="1134" w:type="dxa"/>
            <w:shd w:val="clear" w:color="auto" w:fill="BFBFBF" w:themeFill="background1" w:themeFillShade="BF"/>
          </w:tcPr>
          <w:p w:rsidR="001067B1" w:rsidRPr="00E766C8" w:rsidRDefault="001067B1" w:rsidP="000B4E68">
            <w:pPr>
              <w:tabs>
                <w:tab w:val="left" w:pos="-5103"/>
              </w:tabs>
              <w:rPr>
                <w:rFonts w:asciiTheme="minorHAnsi" w:hAnsiTheme="minorHAnsi"/>
                <w:sz w:val="22"/>
                <w:szCs w:val="22"/>
              </w:rPr>
            </w:pPr>
            <w:r w:rsidRPr="00E766C8">
              <w:rPr>
                <w:rFonts w:asciiTheme="minorHAnsi" w:hAnsiTheme="minorHAnsi"/>
                <w:sz w:val="22"/>
                <w:szCs w:val="22"/>
              </w:rPr>
              <w:t>Montant</w:t>
            </w:r>
          </w:p>
        </w:tc>
      </w:tr>
      <w:tr w:rsidR="001067B1" w:rsidTr="001067B1">
        <w:tc>
          <w:tcPr>
            <w:tcW w:w="1220" w:type="dxa"/>
            <w:vAlign w:val="center"/>
          </w:tcPr>
          <w:p w:rsidR="001067B1" w:rsidRPr="006462DF" w:rsidRDefault="001067B1" w:rsidP="000B4E68">
            <w:pPr>
              <w:jc w:val="center"/>
              <w:rPr>
                <w:rFonts w:asciiTheme="minorHAnsi" w:hAnsiTheme="minorHAnsi"/>
              </w:rPr>
            </w:pPr>
            <w:r w:rsidRPr="006462DF">
              <w:rPr>
                <w:rFonts w:asciiTheme="minorHAnsi" w:hAnsiTheme="minorHAnsi"/>
              </w:rPr>
              <w:t>30/07/2019</w:t>
            </w:r>
          </w:p>
        </w:tc>
        <w:tc>
          <w:tcPr>
            <w:tcW w:w="2835" w:type="dxa"/>
            <w:vAlign w:val="center"/>
          </w:tcPr>
          <w:p w:rsidR="001067B1" w:rsidRPr="006462DF" w:rsidRDefault="001067B1" w:rsidP="000B4E68">
            <w:pPr>
              <w:jc w:val="center"/>
              <w:rPr>
                <w:rFonts w:asciiTheme="minorHAnsi" w:hAnsiTheme="minorHAnsi"/>
              </w:rPr>
            </w:pPr>
            <w:r w:rsidRPr="006462DF">
              <w:rPr>
                <w:rFonts w:asciiTheme="minorHAnsi" w:hAnsiTheme="minorHAnsi"/>
              </w:rPr>
              <w:t>SOCOTEC EQUIPEMENT RENNES</w:t>
            </w:r>
          </w:p>
        </w:tc>
        <w:tc>
          <w:tcPr>
            <w:tcW w:w="3260" w:type="dxa"/>
            <w:vAlign w:val="center"/>
          </w:tcPr>
          <w:p w:rsidR="001067B1" w:rsidRPr="006462DF" w:rsidRDefault="001067B1" w:rsidP="000B4E68">
            <w:pPr>
              <w:rPr>
                <w:rFonts w:asciiTheme="minorHAnsi" w:hAnsiTheme="minorHAnsi"/>
              </w:rPr>
            </w:pPr>
            <w:r w:rsidRPr="006462DF">
              <w:rPr>
                <w:rFonts w:asciiTheme="minorHAnsi" w:hAnsiTheme="minorHAnsi"/>
              </w:rPr>
              <w:t xml:space="preserve">Diagnostic </w:t>
            </w:r>
            <w:proofErr w:type="spellStart"/>
            <w:r w:rsidRPr="006462DF">
              <w:rPr>
                <w:rFonts w:asciiTheme="minorHAnsi" w:hAnsiTheme="minorHAnsi"/>
              </w:rPr>
              <w:t>EP_Breal</w:t>
            </w:r>
            <w:proofErr w:type="spellEnd"/>
            <w:r w:rsidRPr="006462DF">
              <w:rPr>
                <w:rFonts w:asciiTheme="minorHAnsi" w:hAnsiTheme="minorHAnsi"/>
              </w:rPr>
              <w:t xml:space="preserve"> sous Montfort</w:t>
            </w:r>
          </w:p>
        </w:tc>
        <w:tc>
          <w:tcPr>
            <w:tcW w:w="1134" w:type="dxa"/>
            <w:vAlign w:val="center"/>
          </w:tcPr>
          <w:p w:rsidR="001067B1" w:rsidRPr="006462DF" w:rsidRDefault="001067B1" w:rsidP="000B4E68">
            <w:pPr>
              <w:jc w:val="right"/>
              <w:rPr>
                <w:rFonts w:asciiTheme="minorHAnsi" w:hAnsiTheme="minorHAnsi"/>
              </w:rPr>
            </w:pPr>
            <w:r w:rsidRPr="006462DF">
              <w:rPr>
                <w:rFonts w:asciiTheme="minorHAnsi" w:hAnsiTheme="minorHAnsi"/>
              </w:rPr>
              <w:t>3</w:t>
            </w:r>
            <w:r>
              <w:rPr>
                <w:rFonts w:asciiTheme="minorHAnsi" w:hAnsiTheme="minorHAnsi"/>
              </w:rPr>
              <w:t xml:space="preserve"> </w:t>
            </w:r>
            <w:r w:rsidRPr="006462DF">
              <w:rPr>
                <w:rFonts w:asciiTheme="minorHAnsi" w:hAnsiTheme="minorHAnsi"/>
              </w:rPr>
              <w:t>120,00</w:t>
            </w:r>
            <w:r>
              <w:rPr>
                <w:rFonts w:asciiTheme="minorHAnsi" w:hAnsiTheme="minorHAnsi"/>
              </w:rPr>
              <w:t xml:space="preserve"> €</w:t>
            </w:r>
          </w:p>
        </w:tc>
      </w:tr>
      <w:tr w:rsidR="001067B1" w:rsidTr="001067B1">
        <w:tc>
          <w:tcPr>
            <w:tcW w:w="1220" w:type="dxa"/>
            <w:vAlign w:val="center"/>
          </w:tcPr>
          <w:p w:rsidR="001067B1" w:rsidRPr="006462DF" w:rsidRDefault="001067B1" w:rsidP="000B4E68">
            <w:pPr>
              <w:jc w:val="center"/>
              <w:rPr>
                <w:rFonts w:asciiTheme="minorHAnsi" w:hAnsiTheme="minorHAnsi"/>
              </w:rPr>
            </w:pPr>
            <w:r w:rsidRPr="006462DF">
              <w:rPr>
                <w:rFonts w:asciiTheme="minorHAnsi" w:hAnsiTheme="minorHAnsi"/>
              </w:rPr>
              <w:t>22/08/2019</w:t>
            </w:r>
          </w:p>
        </w:tc>
        <w:tc>
          <w:tcPr>
            <w:tcW w:w="2835" w:type="dxa"/>
            <w:vAlign w:val="center"/>
          </w:tcPr>
          <w:p w:rsidR="001067B1" w:rsidRPr="006462DF" w:rsidRDefault="001067B1" w:rsidP="000B4E68">
            <w:pPr>
              <w:jc w:val="center"/>
              <w:rPr>
                <w:rFonts w:asciiTheme="minorHAnsi" w:hAnsiTheme="minorHAnsi"/>
              </w:rPr>
            </w:pPr>
            <w:r w:rsidRPr="006462DF">
              <w:rPr>
                <w:rFonts w:asciiTheme="minorHAnsi" w:hAnsiTheme="minorHAnsi"/>
              </w:rPr>
              <w:t>DBT</w:t>
            </w:r>
          </w:p>
        </w:tc>
        <w:tc>
          <w:tcPr>
            <w:tcW w:w="3260" w:type="dxa"/>
            <w:vAlign w:val="center"/>
          </w:tcPr>
          <w:p w:rsidR="001067B1" w:rsidRPr="006462DF" w:rsidRDefault="001067B1" w:rsidP="001067B1">
            <w:pPr>
              <w:jc w:val="left"/>
              <w:rPr>
                <w:rFonts w:asciiTheme="minorHAnsi" w:hAnsiTheme="minorHAnsi"/>
              </w:rPr>
            </w:pPr>
            <w:r w:rsidRPr="006462DF">
              <w:rPr>
                <w:rFonts w:asciiTheme="minorHAnsi" w:hAnsiTheme="minorHAnsi"/>
              </w:rPr>
              <w:t>REPARATION BORNE RAPIDE CESSON</w:t>
            </w:r>
          </w:p>
        </w:tc>
        <w:tc>
          <w:tcPr>
            <w:tcW w:w="1134" w:type="dxa"/>
            <w:vAlign w:val="center"/>
          </w:tcPr>
          <w:p w:rsidR="001067B1" w:rsidRPr="006462DF" w:rsidRDefault="001067B1" w:rsidP="000B4E68">
            <w:pPr>
              <w:jc w:val="right"/>
              <w:rPr>
                <w:rFonts w:asciiTheme="minorHAnsi" w:hAnsiTheme="minorHAnsi"/>
              </w:rPr>
            </w:pPr>
            <w:r w:rsidRPr="006462DF">
              <w:rPr>
                <w:rFonts w:asciiTheme="minorHAnsi" w:hAnsiTheme="minorHAnsi"/>
              </w:rPr>
              <w:t>2</w:t>
            </w:r>
            <w:r>
              <w:rPr>
                <w:rFonts w:asciiTheme="minorHAnsi" w:hAnsiTheme="minorHAnsi"/>
              </w:rPr>
              <w:t xml:space="preserve"> </w:t>
            </w:r>
            <w:r w:rsidRPr="006462DF">
              <w:rPr>
                <w:rFonts w:asciiTheme="minorHAnsi" w:hAnsiTheme="minorHAnsi"/>
              </w:rPr>
              <w:t>593,80</w:t>
            </w:r>
            <w:r>
              <w:rPr>
                <w:rFonts w:asciiTheme="minorHAnsi" w:hAnsiTheme="minorHAnsi"/>
              </w:rPr>
              <w:t xml:space="preserve"> €</w:t>
            </w:r>
          </w:p>
        </w:tc>
      </w:tr>
      <w:tr w:rsidR="001067B1" w:rsidTr="001067B1">
        <w:tc>
          <w:tcPr>
            <w:tcW w:w="1220" w:type="dxa"/>
            <w:vAlign w:val="center"/>
          </w:tcPr>
          <w:p w:rsidR="001067B1" w:rsidRPr="006462DF" w:rsidRDefault="001067B1" w:rsidP="000B4E68">
            <w:pPr>
              <w:jc w:val="center"/>
              <w:rPr>
                <w:rFonts w:asciiTheme="minorHAnsi" w:hAnsiTheme="minorHAnsi"/>
              </w:rPr>
            </w:pPr>
            <w:r w:rsidRPr="006462DF">
              <w:rPr>
                <w:rFonts w:asciiTheme="minorHAnsi" w:hAnsiTheme="minorHAnsi"/>
              </w:rPr>
              <w:t>06/09/2019</w:t>
            </w:r>
          </w:p>
        </w:tc>
        <w:tc>
          <w:tcPr>
            <w:tcW w:w="2835" w:type="dxa"/>
            <w:vAlign w:val="center"/>
          </w:tcPr>
          <w:p w:rsidR="001067B1" w:rsidRPr="006462DF" w:rsidRDefault="001067B1" w:rsidP="000B4E68">
            <w:pPr>
              <w:jc w:val="center"/>
              <w:rPr>
                <w:rFonts w:asciiTheme="minorHAnsi" w:hAnsiTheme="minorHAnsi"/>
              </w:rPr>
            </w:pPr>
            <w:r w:rsidRPr="006462DF">
              <w:rPr>
                <w:rFonts w:asciiTheme="minorHAnsi" w:hAnsiTheme="minorHAnsi"/>
              </w:rPr>
              <w:t>IMAGREEN</w:t>
            </w:r>
          </w:p>
        </w:tc>
        <w:tc>
          <w:tcPr>
            <w:tcW w:w="3260" w:type="dxa"/>
            <w:vAlign w:val="center"/>
          </w:tcPr>
          <w:p w:rsidR="001067B1" w:rsidRPr="006462DF" w:rsidRDefault="001067B1" w:rsidP="001067B1">
            <w:pPr>
              <w:jc w:val="left"/>
              <w:rPr>
                <w:rFonts w:asciiTheme="minorHAnsi" w:hAnsiTheme="minorHAnsi"/>
              </w:rPr>
            </w:pPr>
            <w:r w:rsidRPr="006462DF">
              <w:rPr>
                <w:rFonts w:asciiTheme="minorHAnsi" w:hAnsiTheme="minorHAnsi"/>
              </w:rPr>
              <w:t>ANNONCE OFFRE EMPLOI ETUDES/URBANISME</w:t>
            </w:r>
          </w:p>
        </w:tc>
        <w:tc>
          <w:tcPr>
            <w:tcW w:w="1134" w:type="dxa"/>
            <w:vAlign w:val="center"/>
          </w:tcPr>
          <w:p w:rsidR="001067B1" w:rsidRPr="006462DF" w:rsidRDefault="001067B1" w:rsidP="000B4E68">
            <w:pPr>
              <w:jc w:val="right"/>
              <w:rPr>
                <w:rFonts w:asciiTheme="minorHAnsi" w:hAnsiTheme="minorHAnsi"/>
              </w:rPr>
            </w:pPr>
            <w:r w:rsidRPr="006462DF">
              <w:rPr>
                <w:rFonts w:asciiTheme="minorHAnsi" w:hAnsiTheme="minorHAnsi"/>
              </w:rPr>
              <w:t>8</w:t>
            </w:r>
            <w:r>
              <w:rPr>
                <w:rFonts w:asciiTheme="minorHAnsi" w:hAnsiTheme="minorHAnsi"/>
              </w:rPr>
              <w:t xml:space="preserve"> </w:t>
            </w:r>
            <w:r w:rsidRPr="006462DF">
              <w:rPr>
                <w:rFonts w:asciiTheme="minorHAnsi" w:hAnsiTheme="minorHAnsi"/>
              </w:rPr>
              <w:t>400,00</w:t>
            </w:r>
            <w:r>
              <w:rPr>
                <w:rFonts w:asciiTheme="minorHAnsi" w:hAnsiTheme="minorHAnsi"/>
              </w:rPr>
              <w:t xml:space="preserve"> €</w:t>
            </w:r>
          </w:p>
        </w:tc>
      </w:tr>
      <w:tr w:rsidR="001067B1" w:rsidTr="001067B1">
        <w:tc>
          <w:tcPr>
            <w:tcW w:w="1220" w:type="dxa"/>
            <w:vAlign w:val="center"/>
          </w:tcPr>
          <w:p w:rsidR="001067B1" w:rsidRPr="006462DF" w:rsidRDefault="001067B1" w:rsidP="000B4E68">
            <w:pPr>
              <w:jc w:val="center"/>
              <w:rPr>
                <w:rFonts w:asciiTheme="minorHAnsi" w:hAnsiTheme="minorHAnsi"/>
              </w:rPr>
            </w:pPr>
            <w:r w:rsidRPr="006462DF">
              <w:rPr>
                <w:rFonts w:asciiTheme="minorHAnsi" w:hAnsiTheme="minorHAnsi"/>
              </w:rPr>
              <w:t>16/09/2019</w:t>
            </w:r>
          </w:p>
        </w:tc>
        <w:tc>
          <w:tcPr>
            <w:tcW w:w="2835" w:type="dxa"/>
            <w:vAlign w:val="center"/>
          </w:tcPr>
          <w:p w:rsidR="001067B1" w:rsidRPr="006462DF" w:rsidRDefault="001067B1" w:rsidP="000B4E68">
            <w:pPr>
              <w:jc w:val="center"/>
              <w:rPr>
                <w:rFonts w:asciiTheme="minorHAnsi" w:hAnsiTheme="minorHAnsi"/>
              </w:rPr>
            </w:pPr>
            <w:r w:rsidRPr="006462DF">
              <w:rPr>
                <w:rFonts w:asciiTheme="minorHAnsi" w:hAnsiTheme="minorHAnsi"/>
              </w:rPr>
              <w:t>ILIANE INFORMATIQUE</w:t>
            </w:r>
          </w:p>
        </w:tc>
        <w:tc>
          <w:tcPr>
            <w:tcW w:w="3260" w:type="dxa"/>
            <w:vAlign w:val="center"/>
          </w:tcPr>
          <w:p w:rsidR="001067B1" w:rsidRPr="006462DF" w:rsidRDefault="001067B1" w:rsidP="001067B1">
            <w:pPr>
              <w:jc w:val="left"/>
              <w:rPr>
                <w:rFonts w:asciiTheme="minorHAnsi" w:hAnsiTheme="minorHAnsi"/>
              </w:rPr>
            </w:pPr>
            <w:r w:rsidRPr="006462DF">
              <w:rPr>
                <w:rFonts w:asciiTheme="minorHAnsi" w:hAnsiTheme="minorHAnsi"/>
              </w:rPr>
              <w:t>solution anti-virus</w:t>
            </w:r>
          </w:p>
        </w:tc>
        <w:tc>
          <w:tcPr>
            <w:tcW w:w="1134" w:type="dxa"/>
            <w:vAlign w:val="center"/>
          </w:tcPr>
          <w:p w:rsidR="001067B1" w:rsidRPr="006462DF" w:rsidRDefault="001067B1" w:rsidP="000B4E68">
            <w:pPr>
              <w:jc w:val="right"/>
              <w:rPr>
                <w:rFonts w:asciiTheme="minorHAnsi" w:hAnsiTheme="minorHAnsi"/>
              </w:rPr>
            </w:pPr>
            <w:r w:rsidRPr="006462DF">
              <w:rPr>
                <w:rFonts w:asciiTheme="minorHAnsi" w:hAnsiTheme="minorHAnsi"/>
              </w:rPr>
              <w:t>6</w:t>
            </w:r>
            <w:r>
              <w:rPr>
                <w:rFonts w:asciiTheme="minorHAnsi" w:hAnsiTheme="minorHAnsi"/>
              </w:rPr>
              <w:t xml:space="preserve"> </w:t>
            </w:r>
            <w:r w:rsidRPr="006462DF">
              <w:rPr>
                <w:rFonts w:asciiTheme="minorHAnsi" w:hAnsiTheme="minorHAnsi"/>
              </w:rPr>
              <w:t>030,00</w:t>
            </w:r>
            <w:r>
              <w:rPr>
                <w:rFonts w:asciiTheme="minorHAnsi" w:hAnsiTheme="minorHAnsi"/>
              </w:rPr>
              <w:t xml:space="preserve"> €</w:t>
            </w:r>
          </w:p>
        </w:tc>
      </w:tr>
      <w:tr w:rsidR="001067B1" w:rsidTr="001067B1">
        <w:tc>
          <w:tcPr>
            <w:tcW w:w="1220" w:type="dxa"/>
            <w:vAlign w:val="center"/>
          </w:tcPr>
          <w:p w:rsidR="001067B1" w:rsidRPr="006462DF" w:rsidRDefault="001067B1" w:rsidP="000B4E68">
            <w:pPr>
              <w:jc w:val="center"/>
              <w:rPr>
                <w:rFonts w:asciiTheme="minorHAnsi" w:hAnsiTheme="minorHAnsi"/>
              </w:rPr>
            </w:pPr>
            <w:r w:rsidRPr="006462DF">
              <w:rPr>
                <w:rFonts w:asciiTheme="minorHAnsi" w:hAnsiTheme="minorHAnsi"/>
              </w:rPr>
              <w:t>16/09/2019</w:t>
            </w:r>
          </w:p>
        </w:tc>
        <w:tc>
          <w:tcPr>
            <w:tcW w:w="2835" w:type="dxa"/>
            <w:vAlign w:val="center"/>
          </w:tcPr>
          <w:p w:rsidR="001067B1" w:rsidRPr="006462DF" w:rsidRDefault="001067B1" w:rsidP="000B4E68">
            <w:pPr>
              <w:jc w:val="center"/>
              <w:rPr>
                <w:rFonts w:asciiTheme="minorHAnsi" w:hAnsiTheme="minorHAnsi"/>
              </w:rPr>
            </w:pPr>
            <w:r w:rsidRPr="006462DF">
              <w:rPr>
                <w:rFonts w:asciiTheme="minorHAnsi" w:hAnsiTheme="minorHAnsi"/>
              </w:rPr>
              <w:t>VEREMES</w:t>
            </w:r>
          </w:p>
        </w:tc>
        <w:tc>
          <w:tcPr>
            <w:tcW w:w="3260" w:type="dxa"/>
            <w:vAlign w:val="center"/>
          </w:tcPr>
          <w:p w:rsidR="001067B1" w:rsidRPr="006462DF" w:rsidRDefault="001067B1" w:rsidP="001067B1">
            <w:pPr>
              <w:jc w:val="left"/>
              <w:rPr>
                <w:rFonts w:asciiTheme="minorHAnsi" w:hAnsiTheme="minorHAnsi"/>
              </w:rPr>
            </w:pPr>
            <w:r w:rsidRPr="006462DF">
              <w:rPr>
                <w:rFonts w:asciiTheme="minorHAnsi" w:hAnsiTheme="minorHAnsi"/>
              </w:rPr>
              <w:t>utilisateur supplémentaire sur la licence FME</w:t>
            </w:r>
          </w:p>
        </w:tc>
        <w:tc>
          <w:tcPr>
            <w:tcW w:w="1134" w:type="dxa"/>
            <w:vAlign w:val="center"/>
          </w:tcPr>
          <w:p w:rsidR="001067B1" w:rsidRPr="006462DF" w:rsidRDefault="001067B1" w:rsidP="000B4E68">
            <w:pPr>
              <w:jc w:val="right"/>
              <w:rPr>
                <w:rFonts w:asciiTheme="minorHAnsi" w:hAnsiTheme="minorHAnsi"/>
              </w:rPr>
            </w:pPr>
            <w:r w:rsidRPr="006462DF">
              <w:rPr>
                <w:rFonts w:asciiTheme="minorHAnsi" w:hAnsiTheme="minorHAnsi"/>
              </w:rPr>
              <w:t>3</w:t>
            </w:r>
            <w:r>
              <w:rPr>
                <w:rFonts w:asciiTheme="minorHAnsi" w:hAnsiTheme="minorHAnsi"/>
              </w:rPr>
              <w:t xml:space="preserve"> </w:t>
            </w:r>
            <w:r w:rsidRPr="006462DF">
              <w:rPr>
                <w:rFonts w:asciiTheme="minorHAnsi" w:hAnsiTheme="minorHAnsi"/>
              </w:rPr>
              <w:t>120,00</w:t>
            </w:r>
            <w:r>
              <w:rPr>
                <w:rFonts w:asciiTheme="minorHAnsi" w:hAnsiTheme="minorHAnsi"/>
              </w:rPr>
              <w:t xml:space="preserve"> €</w:t>
            </w:r>
          </w:p>
        </w:tc>
      </w:tr>
    </w:tbl>
    <w:p w:rsidR="00BA304E" w:rsidRPr="00BA304E" w:rsidRDefault="00BA304E" w:rsidP="00B8382B">
      <w:pPr>
        <w:pStyle w:val="Paragraphedeliste"/>
        <w:numPr>
          <w:ilvl w:val="0"/>
          <w:numId w:val="10"/>
        </w:numPr>
        <w:pBdr>
          <w:top w:val="single" w:sz="4" w:space="1" w:color="808080"/>
          <w:left w:val="single" w:sz="4" w:space="4" w:color="808080"/>
          <w:bottom w:val="single" w:sz="4" w:space="1" w:color="808080"/>
          <w:right w:val="single" w:sz="4" w:space="4" w:color="808080"/>
        </w:pBdr>
        <w:shd w:val="clear" w:color="auto" w:fill="595959"/>
        <w:ind w:left="567" w:right="-1" w:hanging="567"/>
        <w:rPr>
          <w:rFonts w:ascii="Venacti Sb" w:hAnsi="Venacti Sb"/>
          <w:bCs/>
          <w:color w:val="FFFFFF"/>
          <w:sz w:val="26"/>
          <w:szCs w:val="26"/>
          <w:lang w:eastAsia="en-US"/>
        </w:rPr>
      </w:pPr>
      <w:r w:rsidRPr="00BA304E">
        <w:rPr>
          <w:rFonts w:ascii="Venacti Sb" w:hAnsi="Venacti Sb"/>
          <w:bCs/>
          <w:color w:val="FFFFFF"/>
          <w:sz w:val="26"/>
          <w:szCs w:val="26"/>
          <w:lang w:eastAsia="en-US"/>
        </w:rPr>
        <w:lastRenderedPageBreak/>
        <w:t>Questions diverses</w:t>
      </w:r>
    </w:p>
    <w:p w:rsidR="00BA304E" w:rsidRDefault="00BA304E" w:rsidP="006A3382">
      <w:pPr>
        <w:jc w:val="left"/>
        <w:rPr>
          <w:rFonts w:ascii="Calibri" w:hAnsi="Calibri"/>
          <w:szCs w:val="22"/>
        </w:rPr>
      </w:pPr>
    </w:p>
    <w:p w:rsidR="005D500C" w:rsidRPr="00071FBC" w:rsidRDefault="005D500C" w:rsidP="006A3382">
      <w:pPr>
        <w:jc w:val="left"/>
        <w:rPr>
          <w:rFonts w:ascii="Calibri" w:hAnsi="Calibri"/>
          <w:b/>
          <w:i/>
          <w:szCs w:val="22"/>
          <w:u w:val="single"/>
        </w:rPr>
      </w:pPr>
      <w:r w:rsidRPr="00071FBC">
        <w:rPr>
          <w:rFonts w:ascii="Calibri" w:hAnsi="Calibri"/>
          <w:b/>
          <w:i/>
          <w:szCs w:val="22"/>
          <w:u w:val="single"/>
        </w:rPr>
        <w:t>Marchés Energie</w:t>
      </w:r>
    </w:p>
    <w:p w:rsidR="002C30A8" w:rsidRDefault="002C30A8" w:rsidP="006A3382">
      <w:pPr>
        <w:jc w:val="left"/>
        <w:rPr>
          <w:rFonts w:ascii="Calibri" w:hAnsi="Calibri"/>
          <w:szCs w:val="22"/>
        </w:rPr>
      </w:pPr>
    </w:p>
    <w:p w:rsidR="006A3382" w:rsidRDefault="005D500C" w:rsidP="002C30A8">
      <w:pPr>
        <w:rPr>
          <w:rFonts w:ascii="Calibri" w:hAnsi="Calibri"/>
          <w:szCs w:val="22"/>
        </w:rPr>
      </w:pPr>
      <w:r w:rsidRPr="002C30A8">
        <w:rPr>
          <w:rFonts w:ascii="Calibri" w:hAnsi="Calibri"/>
          <w:color w:val="8064A2" w:themeColor="accent4"/>
          <w:szCs w:val="22"/>
        </w:rPr>
        <w:t>Le prés</w:t>
      </w:r>
      <w:r w:rsidR="002C30A8" w:rsidRPr="002C30A8">
        <w:rPr>
          <w:rFonts w:ascii="Calibri" w:hAnsi="Calibri"/>
          <w:color w:val="8064A2" w:themeColor="accent4"/>
          <w:szCs w:val="22"/>
        </w:rPr>
        <w:t>id</w:t>
      </w:r>
      <w:r w:rsidRPr="002C30A8">
        <w:rPr>
          <w:rFonts w:ascii="Calibri" w:hAnsi="Calibri"/>
          <w:color w:val="8064A2" w:themeColor="accent4"/>
          <w:szCs w:val="22"/>
        </w:rPr>
        <w:t xml:space="preserve">ent </w:t>
      </w:r>
      <w:r>
        <w:rPr>
          <w:rFonts w:ascii="Calibri" w:hAnsi="Calibri"/>
          <w:szCs w:val="22"/>
        </w:rPr>
        <w:t>invite les membres du Comité syndical à prendre connaissance de la présentation des offres proposées dans le cadre du « Marché électricité »</w:t>
      </w:r>
    </w:p>
    <w:p w:rsidR="006A3382" w:rsidRDefault="006A3382" w:rsidP="006A3382">
      <w:pPr>
        <w:jc w:val="left"/>
        <w:rPr>
          <w:rFonts w:ascii="Calibri" w:hAnsi="Calibri"/>
          <w:szCs w:val="22"/>
        </w:rPr>
      </w:pPr>
    </w:p>
    <w:p w:rsidR="005D500C" w:rsidRPr="00071FBC" w:rsidRDefault="00071FBC" w:rsidP="006A3382">
      <w:pPr>
        <w:jc w:val="left"/>
        <w:rPr>
          <w:rFonts w:ascii="Calibri" w:hAnsi="Calibri"/>
          <w:szCs w:val="22"/>
          <w:u w:val="single"/>
        </w:rPr>
      </w:pPr>
      <w:r w:rsidRPr="00071FBC">
        <w:rPr>
          <w:rFonts w:ascii="Calibri" w:hAnsi="Calibri"/>
          <w:szCs w:val="22"/>
          <w:u w:val="single"/>
        </w:rPr>
        <w:t>Retour sur les marchés précédents :</w:t>
      </w:r>
    </w:p>
    <w:p w:rsidR="005D500C" w:rsidRPr="00504AD6" w:rsidRDefault="005D500C" w:rsidP="006A3382">
      <w:pPr>
        <w:jc w:val="left"/>
        <w:rPr>
          <w:rFonts w:ascii="Calibri" w:hAnsi="Calibri"/>
          <w:sz w:val="16"/>
          <w:szCs w:val="16"/>
        </w:rPr>
      </w:pPr>
    </w:p>
    <w:p w:rsidR="008F2B2F" w:rsidRPr="00071FBC" w:rsidRDefault="00C01B3F" w:rsidP="00071FBC">
      <w:pPr>
        <w:numPr>
          <w:ilvl w:val="0"/>
          <w:numId w:val="28"/>
        </w:numPr>
        <w:jc w:val="left"/>
        <w:rPr>
          <w:rFonts w:ascii="Calibri" w:hAnsi="Calibri"/>
          <w:szCs w:val="22"/>
        </w:rPr>
      </w:pPr>
      <w:r w:rsidRPr="00813AD8">
        <w:rPr>
          <w:rFonts w:ascii="Calibri" w:hAnsi="Calibri"/>
          <w:b/>
          <w:szCs w:val="22"/>
        </w:rPr>
        <w:t>Elec</w:t>
      </w:r>
      <w:r w:rsidR="00813AD8">
        <w:rPr>
          <w:rFonts w:ascii="Calibri" w:hAnsi="Calibri"/>
          <w:b/>
          <w:szCs w:val="22"/>
        </w:rPr>
        <w:t>tricité</w:t>
      </w:r>
      <w:r w:rsidRPr="00071FBC">
        <w:rPr>
          <w:rFonts w:ascii="Calibri" w:hAnsi="Calibri"/>
          <w:szCs w:val="22"/>
        </w:rPr>
        <w:t xml:space="preserve"> :</w:t>
      </w:r>
    </w:p>
    <w:p w:rsidR="008F2B2F" w:rsidRPr="00071FBC" w:rsidRDefault="00C01B3F" w:rsidP="00071FBC">
      <w:pPr>
        <w:numPr>
          <w:ilvl w:val="1"/>
          <w:numId w:val="28"/>
        </w:numPr>
        <w:jc w:val="left"/>
        <w:rPr>
          <w:rFonts w:ascii="Calibri" w:hAnsi="Calibri"/>
          <w:szCs w:val="22"/>
        </w:rPr>
      </w:pPr>
      <w:r w:rsidRPr="00071FBC">
        <w:rPr>
          <w:rFonts w:ascii="Calibri" w:hAnsi="Calibri"/>
          <w:szCs w:val="22"/>
        </w:rPr>
        <w:t xml:space="preserve">Lot 1 : BT &gt; 36 </w:t>
      </w:r>
      <w:proofErr w:type="spellStart"/>
      <w:r w:rsidRPr="00071FBC">
        <w:rPr>
          <w:rFonts w:ascii="Calibri" w:hAnsi="Calibri"/>
          <w:szCs w:val="22"/>
        </w:rPr>
        <w:t>kVA</w:t>
      </w:r>
      <w:proofErr w:type="spellEnd"/>
      <w:r w:rsidRPr="00071FBC">
        <w:rPr>
          <w:rFonts w:ascii="Calibri" w:hAnsi="Calibri"/>
          <w:szCs w:val="22"/>
        </w:rPr>
        <w:t xml:space="preserve"> (C4)</w:t>
      </w:r>
    </w:p>
    <w:p w:rsidR="008F2B2F" w:rsidRPr="00071FBC" w:rsidRDefault="00C01B3F" w:rsidP="00071FBC">
      <w:pPr>
        <w:numPr>
          <w:ilvl w:val="1"/>
          <w:numId w:val="28"/>
        </w:numPr>
        <w:jc w:val="left"/>
        <w:rPr>
          <w:rFonts w:ascii="Calibri" w:hAnsi="Calibri"/>
          <w:szCs w:val="22"/>
        </w:rPr>
      </w:pPr>
      <w:r w:rsidRPr="00071FBC">
        <w:rPr>
          <w:rFonts w:ascii="Calibri" w:hAnsi="Calibri"/>
          <w:szCs w:val="22"/>
        </w:rPr>
        <w:t>Lot 2 : HTA ≤ 250 kW (C3) et HTA &gt; 250 kW (C2)</w:t>
      </w:r>
    </w:p>
    <w:p w:rsidR="008F2B2F" w:rsidRPr="00071FBC" w:rsidRDefault="00C01B3F" w:rsidP="00071FBC">
      <w:pPr>
        <w:numPr>
          <w:ilvl w:val="1"/>
          <w:numId w:val="28"/>
        </w:numPr>
        <w:jc w:val="left"/>
        <w:rPr>
          <w:rFonts w:ascii="Calibri" w:hAnsi="Calibri"/>
          <w:szCs w:val="22"/>
        </w:rPr>
      </w:pPr>
      <w:r w:rsidRPr="00071FBC">
        <w:rPr>
          <w:rFonts w:ascii="Calibri" w:hAnsi="Calibri"/>
          <w:szCs w:val="22"/>
        </w:rPr>
        <w:t xml:space="preserve">Pas de consultation pour les BT ≤ 36 </w:t>
      </w:r>
      <w:proofErr w:type="spellStart"/>
      <w:r w:rsidRPr="00071FBC">
        <w:rPr>
          <w:rFonts w:ascii="Calibri" w:hAnsi="Calibri"/>
          <w:szCs w:val="22"/>
        </w:rPr>
        <w:t>kVA</w:t>
      </w:r>
      <w:proofErr w:type="spellEnd"/>
      <w:r w:rsidRPr="00071FBC">
        <w:rPr>
          <w:rFonts w:ascii="Calibri" w:hAnsi="Calibri"/>
          <w:szCs w:val="22"/>
        </w:rPr>
        <w:t xml:space="preserve"> (C5)</w:t>
      </w:r>
    </w:p>
    <w:p w:rsidR="005D500C" w:rsidRDefault="00071FBC" w:rsidP="00071FBC">
      <w:pPr>
        <w:numPr>
          <w:ilvl w:val="1"/>
          <w:numId w:val="28"/>
        </w:numPr>
        <w:jc w:val="left"/>
        <w:rPr>
          <w:rFonts w:ascii="Calibri" w:hAnsi="Calibri"/>
          <w:szCs w:val="22"/>
        </w:rPr>
      </w:pPr>
      <w:r w:rsidRPr="00071FBC">
        <w:rPr>
          <w:rFonts w:ascii="Calibri" w:hAnsi="Calibri"/>
          <w:szCs w:val="22"/>
        </w:rPr>
        <w:t>Prix fixes pour la durée du marché, fixés le jour de la CAO</w:t>
      </w:r>
    </w:p>
    <w:p w:rsidR="00071FBC" w:rsidRPr="00504AD6" w:rsidRDefault="00071FBC" w:rsidP="00071FBC">
      <w:pPr>
        <w:jc w:val="left"/>
        <w:rPr>
          <w:rFonts w:ascii="Calibri" w:hAnsi="Calibri"/>
          <w:sz w:val="16"/>
          <w:szCs w:val="16"/>
        </w:rPr>
      </w:pPr>
    </w:p>
    <w:p w:rsidR="008F2B2F" w:rsidRPr="00071FBC" w:rsidRDefault="00C01B3F" w:rsidP="00071FBC">
      <w:pPr>
        <w:numPr>
          <w:ilvl w:val="0"/>
          <w:numId w:val="29"/>
        </w:numPr>
        <w:jc w:val="left"/>
        <w:rPr>
          <w:rFonts w:ascii="Calibri" w:hAnsi="Calibri"/>
          <w:szCs w:val="22"/>
        </w:rPr>
      </w:pPr>
      <w:r w:rsidRPr="00813AD8">
        <w:rPr>
          <w:rFonts w:ascii="Calibri" w:hAnsi="Calibri"/>
          <w:b/>
          <w:szCs w:val="22"/>
        </w:rPr>
        <w:t>Gaz</w:t>
      </w:r>
      <w:r w:rsidRPr="00071FBC">
        <w:rPr>
          <w:rFonts w:ascii="Calibri" w:hAnsi="Calibri"/>
          <w:szCs w:val="22"/>
        </w:rPr>
        <w:t xml:space="preserve"> :</w:t>
      </w:r>
    </w:p>
    <w:p w:rsidR="008F2B2F" w:rsidRPr="00071FBC" w:rsidRDefault="00C01B3F" w:rsidP="00071FBC">
      <w:pPr>
        <w:numPr>
          <w:ilvl w:val="1"/>
          <w:numId w:val="29"/>
        </w:numPr>
        <w:jc w:val="left"/>
        <w:rPr>
          <w:rFonts w:ascii="Calibri" w:hAnsi="Calibri"/>
          <w:szCs w:val="22"/>
        </w:rPr>
      </w:pPr>
      <w:r w:rsidRPr="00071FBC">
        <w:rPr>
          <w:rFonts w:ascii="Calibri" w:hAnsi="Calibri"/>
          <w:szCs w:val="22"/>
        </w:rPr>
        <w:t>Marché groupé avec le SDE22 (coordonnateur)</w:t>
      </w:r>
    </w:p>
    <w:p w:rsidR="008F2B2F" w:rsidRPr="00071FBC" w:rsidRDefault="00C01B3F" w:rsidP="00071FBC">
      <w:pPr>
        <w:numPr>
          <w:ilvl w:val="1"/>
          <w:numId w:val="29"/>
        </w:numPr>
        <w:jc w:val="left"/>
        <w:rPr>
          <w:rFonts w:ascii="Calibri" w:hAnsi="Calibri"/>
          <w:szCs w:val="22"/>
        </w:rPr>
      </w:pPr>
      <w:r w:rsidRPr="00071FBC">
        <w:rPr>
          <w:rFonts w:ascii="Calibri" w:hAnsi="Calibri"/>
          <w:szCs w:val="22"/>
        </w:rPr>
        <w:t>Lot 1 : tous les sites du 35</w:t>
      </w:r>
    </w:p>
    <w:p w:rsidR="008F2B2F" w:rsidRPr="00071FBC" w:rsidRDefault="00C01B3F" w:rsidP="00071FBC">
      <w:pPr>
        <w:numPr>
          <w:ilvl w:val="1"/>
          <w:numId w:val="29"/>
        </w:numPr>
        <w:jc w:val="left"/>
        <w:rPr>
          <w:rFonts w:ascii="Calibri" w:hAnsi="Calibri"/>
          <w:szCs w:val="22"/>
        </w:rPr>
      </w:pPr>
      <w:r w:rsidRPr="00071FBC">
        <w:rPr>
          <w:rFonts w:ascii="Calibri" w:hAnsi="Calibri"/>
          <w:szCs w:val="22"/>
        </w:rPr>
        <w:t>Marchés 2015-2016 et 2017-2018 : prix fixés le jour de la CAO pour la durée du marché</w:t>
      </w:r>
    </w:p>
    <w:p w:rsidR="008F2B2F" w:rsidRPr="00071FBC" w:rsidRDefault="00C01B3F" w:rsidP="00071FBC">
      <w:pPr>
        <w:numPr>
          <w:ilvl w:val="1"/>
          <w:numId w:val="29"/>
        </w:numPr>
        <w:jc w:val="left"/>
        <w:rPr>
          <w:rFonts w:ascii="Calibri" w:hAnsi="Calibri"/>
          <w:szCs w:val="22"/>
        </w:rPr>
      </w:pPr>
      <w:r w:rsidRPr="00071FBC">
        <w:rPr>
          <w:rFonts w:ascii="Calibri" w:hAnsi="Calibri"/>
          <w:szCs w:val="22"/>
        </w:rPr>
        <w:t xml:space="preserve">Marché 2019-2020 : achat au clic = prix fixés fin 2018 pour livraison 2019 et début 2019 pour livraison 2020 </w:t>
      </w:r>
    </w:p>
    <w:p w:rsidR="00071FBC" w:rsidRPr="00504AD6" w:rsidRDefault="00071FBC" w:rsidP="00504AD6">
      <w:pPr>
        <w:ind w:firstLine="708"/>
        <w:jc w:val="left"/>
        <w:rPr>
          <w:rFonts w:ascii="Calibri" w:hAnsi="Calibri"/>
          <w:sz w:val="16"/>
          <w:szCs w:val="16"/>
        </w:rPr>
      </w:pPr>
    </w:p>
    <w:p w:rsidR="00071FBC" w:rsidRDefault="00071FBC" w:rsidP="00504AD6">
      <w:pPr>
        <w:jc w:val="center"/>
        <w:rPr>
          <w:rFonts w:ascii="Calibri" w:hAnsi="Calibri"/>
          <w:szCs w:val="22"/>
        </w:rPr>
      </w:pPr>
      <w:r>
        <w:rPr>
          <w:rFonts w:ascii="Calibri" w:hAnsi="Calibri"/>
          <w:noProof/>
          <w:szCs w:val="22"/>
        </w:rPr>
        <w:drawing>
          <wp:inline distT="0" distB="0" distL="0" distR="0">
            <wp:extent cx="4412672" cy="2708563"/>
            <wp:effectExtent l="0" t="0" r="698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3.jpg"/>
                    <pic:cNvPicPr/>
                  </pic:nvPicPr>
                  <pic:blipFill rotWithShape="1">
                    <a:blip r:embed="rId16" cstate="print">
                      <a:extLst>
                        <a:ext uri="{28A0092B-C50C-407E-A947-70E740481C1C}">
                          <a14:useLocalDpi xmlns:a14="http://schemas.microsoft.com/office/drawing/2010/main" val="0"/>
                        </a:ext>
                      </a:extLst>
                    </a:blip>
                    <a:srcRect l="8812" t="7413" r="9875" b="9622"/>
                    <a:stretch/>
                  </pic:blipFill>
                  <pic:spPr bwMode="auto">
                    <a:xfrm>
                      <a:off x="0" y="0"/>
                      <a:ext cx="4413100" cy="2708826"/>
                    </a:xfrm>
                    <a:prstGeom prst="rect">
                      <a:avLst/>
                    </a:prstGeom>
                    <a:ln>
                      <a:noFill/>
                    </a:ln>
                    <a:extLst>
                      <a:ext uri="{53640926-AAD7-44D8-BBD7-CCE9431645EC}">
                        <a14:shadowObscured xmlns:a14="http://schemas.microsoft.com/office/drawing/2010/main"/>
                      </a:ext>
                    </a:extLst>
                  </pic:spPr>
                </pic:pic>
              </a:graphicData>
            </a:graphic>
          </wp:inline>
        </w:drawing>
      </w:r>
    </w:p>
    <w:p w:rsidR="00504AD6" w:rsidRPr="00504AD6" w:rsidRDefault="00504AD6" w:rsidP="00504AD6">
      <w:pPr>
        <w:jc w:val="center"/>
        <w:rPr>
          <w:rFonts w:ascii="Calibri" w:hAnsi="Calibri"/>
          <w:sz w:val="10"/>
          <w:szCs w:val="10"/>
        </w:rPr>
      </w:pPr>
    </w:p>
    <w:p w:rsidR="00504AD6" w:rsidRDefault="00504AD6" w:rsidP="00504AD6">
      <w:pPr>
        <w:jc w:val="center"/>
        <w:rPr>
          <w:rFonts w:ascii="Calibri" w:hAnsi="Calibri"/>
          <w:szCs w:val="22"/>
        </w:rPr>
      </w:pPr>
      <w:r>
        <w:rPr>
          <w:rFonts w:ascii="Calibri" w:hAnsi="Calibri"/>
          <w:noProof/>
          <w:szCs w:val="22"/>
        </w:rPr>
        <w:lastRenderedPageBreak/>
        <w:drawing>
          <wp:inline distT="0" distB="0" distL="0" distR="0" wp14:anchorId="2A39F3E9" wp14:editId="0C4F01AC">
            <wp:extent cx="4322618" cy="2637504"/>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4.jpg"/>
                    <pic:cNvPicPr/>
                  </pic:nvPicPr>
                  <pic:blipFill rotWithShape="1">
                    <a:blip r:embed="rId17" cstate="print">
                      <a:extLst>
                        <a:ext uri="{28A0092B-C50C-407E-A947-70E740481C1C}">
                          <a14:useLocalDpi xmlns:a14="http://schemas.microsoft.com/office/drawing/2010/main" val="0"/>
                        </a:ext>
                      </a:extLst>
                    </a:blip>
                    <a:srcRect l="8924" t="8044" r="9430" b="10094"/>
                    <a:stretch/>
                  </pic:blipFill>
                  <pic:spPr bwMode="auto">
                    <a:xfrm>
                      <a:off x="0" y="0"/>
                      <a:ext cx="4329853" cy="2641918"/>
                    </a:xfrm>
                    <a:prstGeom prst="rect">
                      <a:avLst/>
                    </a:prstGeom>
                    <a:ln>
                      <a:noFill/>
                    </a:ln>
                    <a:extLst>
                      <a:ext uri="{53640926-AAD7-44D8-BBD7-CCE9431645EC}">
                        <a14:shadowObscured xmlns:a14="http://schemas.microsoft.com/office/drawing/2010/main"/>
                      </a:ext>
                    </a:extLst>
                  </pic:spPr>
                </pic:pic>
              </a:graphicData>
            </a:graphic>
          </wp:inline>
        </w:drawing>
      </w:r>
    </w:p>
    <w:p w:rsidR="002C30A8" w:rsidRDefault="002C30A8" w:rsidP="00504AD6">
      <w:pPr>
        <w:jc w:val="center"/>
        <w:rPr>
          <w:rFonts w:ascii="Calibri" w:hAnsi="Calibri"/>
          <w:szCs w:val="22"/>
        </w:rPr>
      </w:pPr>
    </w:p>
    <w:p w:rsidR="00504AD6" w:rsidRDefault="00504AD6" w:rsidP="00504AD6">
      <w:pPr>
        <w:jc w:val="center"/>
        <w:rPr>
          <w:rFonts w:ascii="Calibri" w:hAnsi="Calibri"/>
          <w:szCs w:val="22"/>
        </w:rPr>
      </w:pPr>
      <w:r>
        <w:rPr>
          <w:rFonts w:ascii="Calibri" w:hAnsi="Calibri"/>
          <w:noProof/>
          <w:szCs w:val="22"/>
        </w:rPr>
        <w:drawing>
          <wp:inline distT="0" distB="0" distL="0" distR="0">
            <wp:extent cx="5209313" cy="3338946"/>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5.jpg"/>
                    <pic:cNvPicPr/>
                  </pic:nvPicPr>
                  <pic:blipFill rotWithShape="1">
                    <a:blip r:embed="rId18" cstate="print">
                      <a:extLst>
                        <a:ext uri="{28A0092B-C50C-407E-A947-70E740481C1C}">
                          <a14:useLocalDpi xmlns:a14="http://schemas.microsoft.com/office/drawing/2010/main" val="0"/>
                        </a:ext>
                      </a:extLst>
                    </a:blip>
                    <a:srcRect l="7808" t="7413" r="8314" b="16561"/>
                    <a:stretch/>
                  </pic:blipFill>
                  <pic:spPr bwMode="auto">
                    <a:xfrm>
                      <a:off x="0" y="0"/>
                      <a:ext cx="5213745" cy="3341787"/>
                    </a:xfrm>
                    <a:prstGeom prst="rect">
                      <a:avLst/>
                    </a:prstGeom>
                    <a:ln>
                      <a:noFill/>
                    </a:ln>
                    <a:extLst>
                      <a:ext uri="{53640926-AAD7-44D8-BBD7-CCE9431645EC}">
                        <a14:shadowObscured xmlns:a14="http://schemas.microsoft.com/office/drawing/2010/main"/>
                      </a:ext>
                    </a:extLst>
                  </pic:spPr>
                </pic:pic>
              </a:graphicData>
            </a:graphic>
          </wp:inline>
        </w:drawing>
      </w:r>
    </w:p>
    <w:p w:rsidR="00504AD6" w:rsidRDefault="00504AD6" w:rsidP="00504AD6">
      <w:pPr>
        <w:jc w:val="center"/>
        <w:rPr>
          <w:rFonts w:ascii="Calibri" w:hAnsi="Calibri"/>
          <w:szCs w:val="22"/>
        </w:rPr>
      </w:pPr>
      <w:bookmarkStart w:id="2" w:name="_GoBack"/>
      <w:bookmarkEnd w:id="2"/>
    </w:p>
    <w:p w:rsidR="00504AD6" w:rsidRDefault="00504AD6" w:rsidP="00504AD6">
      <w:pPr>
        <w:jc w:val="center"/>
        <w:rPr>
          <w:rFonts w:ascii="Calibri" w:hAnsi="Calibri"/>
          <w:szCs w:val="22"/>
        </w:rPr>
      </w:pPr>
      <w:r>
        <w:rPr>
          <w:rFonts w:ascii="Calibri" w:hAnsi="Calibri"/>
          <w:noProof/>
          <w:szCs w:val="22"/>
        </w:rPr>
        <w:lastRenderedPageBreak/>
        <w:drawing>
          <wp:inline distT="0" distB="0" distL="0" distR="0">
            <wp:extent cx="4903383" cy="3408218"/>
            <wp:effectExtent l="0" t="0" r="0" b="190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6.jpg"/>
                    <pic:cNvPicPr/>
                  </pic:nvPicPr>
                  <pic:blipFill rotWithShape="1">
                    <a:blip r:embed="rId19" cstate="print">
                      <a:extLst>
                        <a:ext uri="{28A0092B-C50C-407E-A947-70E740481C1C}">
                          <a14:useLocalDpi xmlns:a14="http://schemas.microsoft.com/office/drawing/2010/main" val="0"/>
                        </a:ext>
                      </a:extLst>
                    </a:blip>
                    <a:srcRect l="7586" t="7887" r="9933" b="11041"/>
                    <a:stretch/>
                  </pic:blipFill>
                  <pic:spPr bwMode="auto">
                    <a:xfrm>
                      <a:off x="0" y="0"/>
                      <a:ext cx="4917806" cy="3418243"/>
                    </a:xfrm>
                    <a:prstGeom prst="rect">
                      <a:avLst/>
                    </a:prstGeom>
                    <a:ln>
                      <a:noFill/>
                    </a:ln>
                    <a:extLst>
                      <a:ext uri="{53640926-AAD7-44D8-BBD7-CCE9431645EC}">
                        <a14:shadowObscured xmlns:a14="http://schemas.microsoft.com/office/drawing/2010/main"/>
                      </a:ext>
                    </a:extLst>
                  </pic:spPr>
                </pic:pic>
              </a:graphicData>
            </a:graphic>
          </wp:inline>
        </w:drawing>
      </w:r>
    </w:p>
    <w:p w:rsidR="00504AD6" w:rsidRDefault="00504AD6" w:rsidP="00504AD6">
      <w:pPr>
        <w:jc w:val="center"/>
        <w:rPr>
          <w:rFonts w:ascii="Calibri" w:hAnsi="Calibri"/>
          <w:szCs w:val="22"/>
        </w:rPr>
      </w:pPr>
    </w:p>
    <w:p w:rsidR="00504AD6" w:rsidRDefault="00504AD6" w:rsidP="00504AD6">
      <w:pPr>
        <w:jc w:val="center"/>
        <w:rPr>
          <w:rFonts w:ascii="Calibri" w:hAnsi="Calibri"/>
          <w:szCs w:val="22"/>
        </w:rPr>
      </w:pPr>
    </w:p>
    <w:p w:rsidR="00504AD6" w:rsidRDefault="00504AD6" w:rsidP="00504AD6">
      <w:pPr>
        <w:spacing w:after="200" w:line="276" w:lineRule="auto"/>
        <w:jc w:val="center"/>
        <w:rPr>
          <w:rFonts w:ascii="Calibri" w:hAnsi="Calibri"/>
          <w:szCs w:val="22"/>
        </w:rPr>
      </w:pPr>
      <w:r>
        <w:rPr>
          <w:rFonts w:ascii="Calibri" w:hAnsi="Calibri"/>
          <w:szCs w:val="22"/>
        </w:rPr>
        <w:br w:type="page"/>
      </w:r>
    </w:p>
    <w:p w:rsidR="00504AD6" w:rsidRDefault="00504AD6" w:rsidP="00504AD6">
      <w:pPr>
        <w:spacing w:after="200" w:line="276" w:lineRule="auto"/>
        <w:jc w:val="center"/>
        <w:rPr>
          <w:rFonts w:ascii="Calibri" w:hAnsi="Calibri"/>
          <w:szCs w:val="22"/>
        </w:rPr>
      </w:pPr>
      <w:r>
        <w:rPr>
          <w:rFonts w:ascii="Calibri" w:hAnsi="Calibri"/>
          <w:noProof/>
          <w:szCs w:val="22"/>
        </w:rPr>
        <w:lastRenderedPageBreak/>
        <w:drawing>
          <wp:inline distT="0" distB="0" distL="0" distR="0">
            <wp:extent cx="4750611" cy="3843888"/>
            <wp:effectExtent l="0" t="3810" r="8255"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8.jpg"/>
                    <pic:cNvPicPr/>
                  </pic:nvPicPr>
                  <pic:blipFill rotWithShape="1">
                    <a:blip r:embed="rId20" cstate="print">
                      <a:extLst>
                        <a:ext uri="{28A0092B-C50C-407E-A947-70E740481C1C}">
                          <a14:useLocalDpi xmlns:a14="http://schemas.microsoft.com/office/drawing/2010/main" val="0"/>
                        </a:ext>
                      </a:extLst>
                    </a:blip>
                    <a:srcRect l="7344" t="6498" r="15993" b="5784"/>
                    <a:stretch/>
                  </pic:blipFill>
                  <pic:spPr bwMode="auto">
                    <a:xfrm rot="16200000">
                      <a:off x="0" y="0"/>
                      <a:ext cx="4760950" cy="3852253"/>
                    </a:xfrm>
                    <a:prstGeom prst="rect">
                      <a:avLst/>
                    </a:prstGeom>
                    <a:ln>
                      <a:noFill/>
                    </a:ln>
                    <a:extLst>
                      <a:ext uri="{53640926-AAD7-44D8-BBD7-CCE9431645EC}">
                        <a14:shadowObscured xmlns:a14="http://schemas.microsoft.com/office/drawing/2010/main"/>
                      </a:ext>
                    </a:extLst>
                  </pic:spPr>
                </pic:pic>
              </a:graphicData>
            </a:graphic>
          </wp:inline>
        </w:drawing>
      </w:r>
    </w:p>
    <w:p w:rsidR="00504AD6" w:rsidRDefault="00504AD6" w:rsidP="00504AD6">
      <w:pPr>
        <w:jc w:val="center"/>
        <w:rPr>
          <w:rFonts w:ascii="Calibri" w:hAnsi="Calibri"/>
          <w:szCs w:val="22"/>
        </w:rPr>
      </w:pPr>
      <w:r>
        <w:rPr>
          <w:rFonts w:ascii="Calibri" w:hAnsi="Calibri"/>
          <w:noProof/>
          <w:szCs w:val="22"/>
        </w:rPr>
        <w:drawing>
          <wp:inline distT="0" distB="0" distL="0" distR="0" wp14:anchorId="10C0978D" wp14:editId="4782B7A4">
            <wp:extent cx="3733800" cy="3754477"/>
            <wp:effectExtent l="8890" t="0" r="889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7.jpg"/>
                    <pic:cNvPicPr/>
                  </pic:nvPicPr>
                  <pic:blipFill rotWithShape="1">
                    <a:blip r:embed="rId21" cstate="print">
                      <a:extLst>
                        <a:ext uri="{28A0092B-C50C-407E-A947-70E740481C1C}">
                          <a14:useLocalDpi xmlns:a14="http://schemas.microsoft.com/office/drawing/2010/main" val="0"/>
                        </a:ext>
                      </a:extLst>
                    </a:blip>
                    <a:srcRect l="6692" t="7413" r="16042" b="8675"/>
                    <a:stretch/>
                  </pic:blipFill>
                  <pic:spPr bwMode="auto">
                    <a:xfrm rot="16200000">
                      <a:off x="0" y="0"/>
                      <a:ext cx="3733605" cy="3754281"/>
                    </a:xfrm>
                    <a:prstGeom prst="rect">
                      <a:avLst/>
                    </a:prstGeom>
                    <a:ln>
                      <a:noFill/>
                    </a:ln>
                    <a:extLst>
                      <a:ext uri="{53640926-AAD7-44D8-BBD7-CCE9431645EC}">
                        <a14:shadowObscured xmlns:a14="http://schemas.microsoft.com/office/drawing/2010/main"/>
                      </a:ext>
                    </a:extLst>
                  </pic:spPr>
                </pic:pic>
              </a:graphicData>
            </a:graphic>
          </wp:inline>
        </w:drawing>
      </w:r>
    </w:p>
    <w:p w:rsidR="00504AD6" w:rsidRDefault="00504AD6">
      <w:pPr>
        <w:spacing w:after="200" w:line="276" w:lineRule="auto"/>
        <w:jc w:val="left"/>
        <w:rPr>
          <w:rFonts w:ascii="Calibri" w:hAnsi="Calibri"/>
          <w:szCs w:val="22"/>
        </w:rPr>
      </w:pPr>
      <w:r>
        <w:rPr>
          <w:rFonts w:ascii="Calibri" w:hAnsi="Calibri"/>
          <w:szCs w:val="22"/>
        </w:rPr>
        <w:br w:type="page"/>
      </w:r>
    </w:p>
    <w:p w:rsidR="00504AD6" w:rsidRDefault="00504AD6" w:rsidP="00504AD6">
      <w:pPr>
        <w:jc w:val="center"/>
        <w:rPr>
          <w:rFonts w:ascii="Calibri" w:hAnsi="Calibri"/>
          <w:szCs w:val="22"/>
        </w:rPr>
      </w:pPr>
      <w:r>
        <w:rPr>
          <w:rFonts w:ascii="Calibri" w:hAnsi="Calibri"/>
          <w:noProof/>
          <w:szCs w:val="22"/>
        </w:rPr>
        <w:lastRenderedPageBreak/>
        <w:drawing>
          <wp:inline distT="0" distB="0" distL="0" distR="0">
            <wp:extent cx="6210300" cy="439166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e_marchés_elec_Page_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210300" cy="4391660"/>
                    </a:xfrm>
                    <a:prstGeom prst="rect">
                      <a:avLst/>
                    </a:prstGeom>
                  </pic:spPr>
                </pic:pic>
              </a:graphicData>
            </a:graphic>
          </wp:inline>
        </w:drawing>
      </w:r>
    </w:p>
    <w:p w:rsidR="00504AD6" w:rsidRDefault="00504AD6" w:rsidP="006A3382">
      <w:pPr>
        <w:jc w:val="left"/>
        <w:rPr>
          <w:rFonts w:ascii="Calibri" w:hAnsi="Calibri"/>
          <w:szCs w:val="22"/>
        </w:rPr>
      </w:pPr>
    </w:p>
    <w:p w:rsidR="005D500C" w:rsidRDefault="005D500C" w:rsidP="00504AD6">
      <w:pPr>
        <w:jc w:val="center"/>
        <w:rPr>
          <w:rFonts w:ascii="Calibri" w:hAnsi="Calibri"/>
          <w:szCs w:val="22"/>
        </w:rPr>
      </w:pPr>
    </w:p>
    <w:p w:rsidR="00504AD6" w:rsidRDefault="00504AD6" w:rsidP="006A3382">
      <w:pPr>
        <w:jc w:val="left"/>
        <w:rPr>
          <w:rFonts w:ascii="Calibri" w:hAnsi="Calibri"/>
          <w:szCs w:val="22"/>
        </w:rPr>
      </w:pPr>
    </w:p>
    <w:p w:rsidR="006A3382" w:rsidRDefault="006A3382" w:rsidP="006A3382">
      <w:pPr>
        <w:jc w:val="left"/>
        <w:rPr>
          <w:rFonts w:ascii="Calibri" w:hAnsi="Calibri"/>
          <w:szCs w:val="22"/>
        </w:rPr>
      </w:pPr>
      <w:r>
        <w:rPr>
          <w:rFonts w:ascii="Calibri" w:hAnsi="Calibri"/>
          <w:szCs w:val="22"/>
        </w:rPr>
        <w:t>L’ordre du jour étant épuisé, le président lève la séance à 12 h 30.</w:t>
      </w:r>
    </w:p>
    <w:p w:rsidR="006A3382" w:rsidRPr="006A3382" w:rsidRDefault="006A3382" w:rsidP="006A3382">
      <w:pPr>
        <w:rPr>
          <w:rFonts w:ascii="Calibri" w:hAnsi="Calibri"/>
          <w:b/>
          <w:szCs w:val="22"/>
        </w:rPr>
      </w:pPr>
    </w:p>
    <w:p w:rsidR="006A3382" w:rsidRPr="006A3382" w:rsidRDefault="006A3382" w:rsidP="006A3382">
      <w:pPr>
        <w:rPr>
          <w:rFonts w:ascii="Calibri" w:hAnsi="Calibri"/>
          <w:b/>
          <w:szCs w:val="22"/>
        </w:rPr>
      </w:pP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sidRPr="006A3382">
        <w:rPr>
          <w:rFonts w:ascii="Calibri" w:hAnsi="Calibri"/>
          <w:b/>
          <w:szCs w:val="22"/>
        </w:rPr>
        <w:t>Le président,</w:t>
      </w:r>
    </w:p>
    <w:p w:rsidR="005D500C" w:rsidRDefault="006A3382" w:rsidP="006A3382">
      <w:pPr>
        <w:rPr>
          <w:rFonts w:ascii="Calibri" w:hAnsi="Calibri"/>
          <w:b/>
          <w:szCs w:val="22"/>
        </w:rPr>
      </w:pP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Pr>
          <w:rFonts w:ascii="Calibri" w:hAnsi="Calibri"/>
          <w:b/>
          <w:szCs w:val="22"/>
        </w:rPr>
        <w:tab/>
      </w:r>
      <w:r w:rsidRPr="006A3382">
        <w:rPr>
          <w:rFonts w:ascii="Calibri" w:hAnsi="Calibri"/>
          <w:b/>
          <w:szCs w:val="22"/>
        </w:rPr>
        <w:t>Didier NOUYOU</w:t>
      </w:r>
    </w:p>
    <w:p w:rsidR="005D500C" w:rsidRDefault="005D500C">
      <w:pPr>
        <w:spacing w:after="200" w:line="276" w:lineRule="auto"/>
        <w:jc w:val="left"/>
        <w:rPr>
          <w:rFonts w:ascii="Calibri" w:hAnsi="Calibri"/>
          <w:b/>
          <w:szCs w:val="22"/>
        </w:rPr>
      </w:pPr>
      <w:r>
        <w:rPr>
          <w:rFonts w:ascii="Calibri" w:hAnsi="Calibri"/>
          <w:b/>
          <w:szCs w:val="22"/>
        </w:rPr>
        <w:br w:type="page"/>
      </w:r>
    </w:p>
    <w:p w:rsidR="006A3382" w:rsidRDefault="005D500C" w:rsidP="006A3382">
      <w:pPr>
        <w:rPr>
          <w:rFonts w:ascii="Calibri" w:hAnsi="Calibri"/>
          <w:b/>
          <w:szCs w:val="22"/>
        </w:rPr>
      </w:pPr>
      <w:r>
        <w:rPr>
          <w:rFonts w:ascii="Calibri" w:hAnsi="Calibri"/>
          <w:b/>
          <w:szCs w:val="22"/>
        </w:rPr>
        <w:lastRenderedPageBreak/>
        <w:t>ANNEXE</w:t>
      </w:r>
    </w:p>
    <w:p w:rsidR="005D500C" w:rsidRDefault="005D500C" w:rsidP="006A3382">
      <w:pPr>
        <w:rPr>
          <w:rFonts w:ascii="Calibri" w:hAnsi="Calibri"/>
          <w:b/>
          <w:szCs w:val="22"/>
        </w:rPr>
      </w:pPr>
      <w:r w:rsidRPr="005D500C">
        <w:rPr>
          <w:noProof/>
        </w:rPr>
        <w:drawing>
          <wp:inline distT="0" distB="0" distL="0" distR="0" wp14:anchorId="3D613C7A" wp14:editId="5659DB47">
            <wp:extent cx="8527473" cy="5222779"/>
            <wp:effectExtent l="0" t="4762" r="0" b="2223"/>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8532078" cy="5225599"/>
                    </a:xfrm>
                    <a:prstGeom prst="rect">
                      <a:avLst/>
                    </a:prstGeom>
                    <a:noFill/>
                    <a:ln>
                      <a:noFill/>
                    </a:ln>
                  </pic:spPr>
                </pic:pic>
              </a:graphicData>
            </a:graphic>
          </wp:inline>
        </w:drawing>
      </w:r>
    </w:p>
    <w:p w:rsidR="0093764C" w:rsidRDefault="0093764C">
      <w:pPr>
        <w:spacing w:after="200" w:line="276" w:lineRule="auto"/>
        <w:jc w:val="left"/>
        <w:rPr>
          <w:rFonts w:ascii="Calibri" w:hAnsi="Calibri"/>
          <w:b/>
          <w:szCs w:val="22"/>
        </w:rPr>
      </w:pPr>
      <w:r>
        <w:rPr>
          <w:rFonts w:ascii="Calibri" w:hAnsi="Calibri"/>
          <w:b/>
          <w:szCs w:val="22"/>
        </w:rPr>
        <w:br w:type="page"/>
      </w:r>
    </w:p>
    <w:p w:rsidR="0093764C" w:rsidRPr="006A3382" w:rsidRDefault="0093764C" w:rsidP="006A3382">
      <w:pPr>
        <w:rPr>
          <w:rFonts w:ascii="Calibri" w:hAnsi="Calibri"/>
          <w:b/>
          <w:szCs w:val="22"/>
        </w:rPr>
      </w:pPr>
      <w:r w:rsidRPr="0093764C">
        <w:rPr>
          <w:noProof/>
        </w:rPr>
        <w:lastRenderedPageBreak/>
        <w:drawing>
          <wp:inline distT="0" distB="0" distL="0" distR="0" wp14:anchorId="7AF21836" wp14:editId="3497D630">
            <wp:extent cx="7687569" cy="608214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687507" cy="6082096"/>
                    </a:xfrm>
                    <a:prstGeom prst="rect">
                      <a:avLst/>
                    </a:prstGeom>
                    <a:noFill/>
                    <a:ln>
                      <a:noFill/>
                    </a:ln>
                  </pic:spPr>
                </pic:pic>
              </a:graphicData>
            </a:graphic>
          </wp:inline>
        </w:drawing>
      </w:r>
    </w:p>
    <w:bookmarkEnd w:id="0"/>
    <w:bookmarkEnd w:id="1"/>
    <w:sectPr w:rsidR="0093764C" w:rsidRPr="006A3382" w:rsidSect="006F1156">
      <w:footerReference w:type="default" r:id="rId25"/>
      <w:pgSz w:w="11906" w:h="16838"/>
      <w:pgMar w:top="1361" w:right="1133" w:bottom="1361" w:left="993" w:header="709" w:footer="1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343" w:rsidRDefault="00151343">
      <w:r>
        <w:separator/>
      </w:r>
    </w:p>
  </w:endnote>
  <w:endnote w:type="continuationSeparator" w:id="0">
    <w:p w:rsidR="00151343" w:rsidRDefault="00151343">
      <w:r>
        <w:continuationSeparator/>
      </w:r>
    </w:p>
  </w:endnote>
  <w:endnote w:type="continuationNotice" w:id="1">
    <w:p w:rsidR="00151343" w:rsidRDefault="001513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Venacti Rg">
    <w:altName w:val="Corbel"/>
    <w:panose1 w:val="020B0506020000080004"/>
    <w:charset w:val="00"/>
    <w:family w:val="swiss"/>
    <w:notTrueType/>
    <w:pitch w:val="variable"/>
    <w:sig w:usb0="A00000EF" w:usb1="5000004B" w:usb2="00000000" w:usb3="00000000" w:csb0="00000183" w:csb1="00000000"/>
  </w:font>
  <w:font w:name="Tahoma">
    <w:panose1 w:val="020B0604030504040204"/>
    <w:charset w:val="00"/>
    <w:family w:val="swiss"/>
    <w:pitch w:val="variable"/>
    <w:sig w:usb0="E1002EFF" w:usb1="C000605B" w:usb2="00000029" w:usb3="00000000" w:csb0="000101FF" w:csb1="00000000"/>
  </w:font>
  <w:font w:name="Optima">
    <w:altName w:val="Courier New"/>
    <w:charset w:val="00"/>
    <w:family w:val="swiss"/>
    <w:pitch w:val="variable"/>
    <w:sig w:usb0="00000007" w:usb1="00000000" w:usb2="00000000" w:usb3="00000000" w:csb0="00000093" w:csb1="00000000"/>
  </w:font>
  <w:font w:name="Swiss">
    <w:panose1 w:val="00000000000000000000"/>
    <w:charset w:val="00"/>
    <w:family w:val="swiss"/>
    <w:notTrueType/>
    <w:pitch w:val="variable"/>
    <w:sig w:usb0="00000003" w:usb1="00000000" w:usb2="00000000" w:usb3="00000000" w:csb0="00000001" w:csb1="00000000"/>
  </w:font>
  <w:font w:name="Venacti Sb">
    <w:altName w:val="Arial Nova Cond"/>
    <w:panose1 w:val="020B0706020000080004"/>
    <w:charset w:val="00"/>
    <w:family w:val="swiss"/>
    <w:notTrueType/>
    <w:pitch w:val="variable"/>
    <w:sig w:usb0="A00000EF" w:usb1="5000004B" w:usb2="00000000" w:usb3="00000000" w:csb0="00000183" w:csb1="00000000"/>
  </w:font>
  <w:font w:name="Lucida Sans Unicode">
    <w:panose1 w:val="020B0602030504020204"/>
    <w:charset w:val="00"/>
    <w:family w:val="swiss"/>
    <w:pitch w:val="variable"/>
    <w:sig w:usb0="80000AFF" w:usb1="0000396B" w:usb2="00000000" w:usb3="00000000" w:csb0="000000BF" w:csb1="00000000"/>
  </w:font>
  <w:font w:name="N 1078">
    <w:altName w:val="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8A8B8D" w:themeColor="text2"/>
      </w:tblBorders>
      <w:tblCellMar>
        <w:top w:w="72" w:type="dxa"/>
        <w:left w:w="115" w:type="dxa"/>
        <w:bottom w:w="72" w:type="dxa"/>
        <w:right w:w="115" w:type="dxa"/>
      </w:tblCellMar>
      <w:tblLook w:val="04A0" w:firstRow="1" w:lastRow="0" w:firstColumn="1" w:lastColumn="0" w:noHBand="0" w:noVBand="1"/>
    </w:tblPr>
    <w:tblGrid>
      <w:gridCol w:w="9009"/>
      <w:gridCol w:w="1001"/>
    </w:tblGrid>
    <w:tr w:rsidR="00DB6658" w:rsidRPr="004D57F2" w:rsidTr="004D57F2">
      <w:tc>
        <w:tcPr>
          <w:tcW w:w="4500" w:type="pct"/>
        </w:tcPr>
        <w:p w:rsidR="00DB6658" w:rsidRPr="004D57F2" w:rsidRDefault="00DB6658" w:rsidP="00DB62FC">
          <w:pPr>
            <w:rPr>
              <w:color w:val="8A8B8D" w:themeColor="text2"/>
              <w:sz w:val="20"/>
              <w:szCs w:val="20"/>
            </w:rPr>
          </w:pPr>
          <w:r w:rsidRPr="004D57F2">
            <w:rPr>
              <w:color w:val="8A8B8D" w:themeColor="text2"/>
              <w:sz w:val="20"/>
              <w:szCs w:val="20"/>
            </w:rPr>
            <w:t>Compte-rendu de la réunion du comité syndical du</w:t>
          </w:r>
          <w:r>
            <w:rPr>
              <w:color w:val="8A8B8D" w:themeColor="text2"/>
              <w:sz w:val="20"/>
              <w:szCs w:val="20"/>
            </w:rPr>
            <w:t xml:space="preserve"> </w:t>
          </w:r>
          <w:r w:rsidR="00DB62FC">
            <w:rPr>
              <w:color w:val="8A8B8D" w:themeColor="text2"/>
              <w:sz w:val="20"/>
              <w:szCs w:val="20"/>
            </w:rPr>
            <w:t>17 septembre</w:t>
          </w:r>
          <w:r>
            <w:rPr>
              <w:color w:val="8A8B8D" w:themeColor="text2"/>
              <w:sz w:val="20"/>
              <w:szCs w:val="20"/>
            </w:rPr>
            <w:t xml:space="preserve"> 2019</w:t>
          </w:r>
        </w:p>
      </w:tc>
      <w:tc>
        <w:tcPr>
          <w:tcW w:w="500" w:type="pct"/>
          <w:shd w:val="clear" w:color="auto" w:fill="auto"/>
        </w:tcPr>
        <w:p w:rsidR="00DB6658" w:rsidRPr="004D57F2" w:rsidRDefault="00DB6658" w:rsidP="004D57F2">
          <w:pPr>
            <w:jc w:val="right"/>
            <w:rPr>
              <w:color w:val="8A8B8D" w:themeColor="text2"/>
              <w:sz w:val="20"/>
              <w:szCs w:val="20"/>
            </w:rPr>
          </w:pPr>
          <w:r w:rsidRPr="004D57F2">
            <w:rPr>
              <w:color w:val="8A8B8D" w:themeColor="text2"/>
              <w:sz w:val="20"/>
              <w:szCs w:val="20"/>
            </w:rPr>
            <w:fldChar w:fldCharType="begin"/>
          </w:r>
          <w:r w:rsidRPr="004D57F2">
            <w:rPr>
              <w:color w:val="8A8B8D" w:themeColor="text2"/>
              <w:sz w:val="20"/>
              <w:szCs w:val="20"/>
            </w:rPr>
            <w:instrText>PAGE   \* MERGEFORMAT</w:instrText>
          </w:r>
          <w:r w:rsidRPr="004D57F2">
            <w:rPr>
              <w:color w:val="8A8B8D" w:themeColor="text2"/>
              <w:sz w:val="20"/>
              <w:szCs w:val="20"/>
            </w:rPr>
            <w:fldChar w:fldCharType="separate"/>
          </w:r>
          <w:r w:rsidR="00652E80">
            <w:rPr>
              <w:noProof/>
              <w:color w:val="8A8B8D" w:themeColor="text2"/>
              <w:sz w:val="20"/>
              <w:szCs w:val="20"/>
            </w:rPr>
            <w:t>23</w:t>
          </w:r>
          <w:r w:rsidRPr="004D57F2">
            <w:rPr>
              <w:color w:val="8A8B8D" w:themeColor="text2"/>
              <w:sz w:val="20"/>
              <w:szCs w:val="20"/>
            </w:rPr>
            <w:fldChar w:fldCharType="end"/>
          </w:r>
        </w:p>
      </w:tc>
    </w:tr>
  </w:tbl>
  <w:p w:rsidR="00DB6658" w:rsidRDefault="00DB66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343" w:rsidRDefault="00151343">
      <w:r>
        <w:separator/>
      </w:r>
    </w:p>
  </w:footnote>
  <w:footnote w:type="continuationSeparator" w:id="0">
    <w:p w:rsidR="00151343" w:rsidRDefault="00151343">
      <w:r>
        <w:continuationSeparator/>
      </w:r>
    </w:p>
  </w:footnote>
  <w:footnote w:type="continuationNotice" w:id="1">
    <w:p w:rsidR="00151343" w:rsidRDefault="0015134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0E3B"/>
    <w:multiLevelType w:val="hybridMultilevel"/>
    <w:tmpl w:val="1BE6BB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3F36A9"/>
    <w:multiLevelType w:val="hybridMultilevel"/>
    <w:tmpl w:val="37FC3092"/>
    <w:lvl w:ilvl="0" w:tplc="BF32959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D4455C"/>
    <w:multiLevelType w:val="hybridMultilevel"/>
    <w:tmpl w:val="42562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774958"/>
    <w:multiLevelType w:val="hybridMultilevel"/>
    <w:tmpl w:val="EEB2C228"/>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974E9A"/>
    <w:multiLevelType w:val="hybridMultilevel"/>
    <w:tmpl w:val="5FB63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33C18BD"/>
    <w:multiLevelType w:val="hybridMultilevel"/>
    <w:tmpl w:val="A4AA8BD2"/>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71364CA"/>
    <w:multiLevelType w:val="hybridMultilevel"/>
    <w:tmpl w:val="A0021E3C"/>
    <w:lvl w:ilvl="0" w:tplc="F89CFD4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3916F1"/>
    <w:multiLevelType w:val="hybridMultilevel"/>
    <w:tmpl w:val="8CD2DEB4"/>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B41E65"/>
    <w:multiLevelType w:val="hybridMultilevel"/>
    <w:tmpl w:val="7682E5C2"/>
    <w:lvl w:ilvl="0" w:tplc="2F54393C">
      <w:start w:val="1"/>
      <w:numFmt w:val="decimal"/>
      <w:pStyle w:val="Titrepoint"/>
      <w:lvlText w:val="%1."/>
      <w:lvlJc w:val="left"/>
      <w:pPr>
        <w:ind w:left="36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4813232"/>
    <w:multiLevelType w:val="hybridMultilevel"/>
    <w:tmpl w:val="EFAC1E70"/>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8CF3BCE"/>
    <w:multiLevelType w:val="hybridMultilevel"/>
    <w:tmpl w:val="0C9869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9A66E57"/>
    <w:multiLevelType w:val="hybridMultilevel"/>
    <w:tmpl w:val="8BB41688"/>
    <w:lvl w:ilvl="0" w:tplc="C2DCF5BA">
      <w:start w:val="1"/>
      <w:numFmt w:val="bullet"/>
      <w:lvlText w:val="•"/>
      <w:lvlJc w:val="left"/>
      <w:pPr>
        <w:tabs>
          <w:tab w:val="num" w:pos="720"/>
        </w:tabs>
        <w:ind w:left="720" w:hanging="360"/>
      </w:pPr>
      <w:rPr>
        <w:rFonts w:ascii="Arial" w:hAnsi="Arial" w:hint="default"/>
      </w:rPr>
    </w:lvl>
    <w:lvl w:ilvl="1" w:tplc="906AD212">
      <w:start w:val="2253"/>
      <w:numFmt w:val="bullet"/>
      <w:lvlText w:val="o"/>
      <w:lvlJc w:val="left"/>
      <w:pPr>
        <w:tabs>
          <w:tab w:val="num" w:pos="1440"/>
        </w:tabs>
        <w:ind w:left="1440" w:hanging="360"/>
      </w:pPr>
      <w:rPr>
        <w:rFonts w:ascii="Courier New" w:hAnsi="Courier New" w:hint="default"/>
      </w:rPr>
    </w:lvl>
    <w:lvl w:ilvl="2" w:tplc="7A045EA6" w:tentative="1">
      <w:start w:val="1"/>
      <w:numFmt w:val="bullet"/>
      <w:lvlText w:val="•"/>
      <w:lvlJc w:val="left"/>
      <w:pPr>
        <w:tabs>
          <w:tab w:val="num" w:pos="2160"/>
        </w:tabs>
        <w:ind w:left="2160" w:hanging="360"/>
      </w:pPr>
      <w:rPr>
        <w:rFonts w:ascii="Arial" w:hAnsi="Arial" w:hint="default"/>
      </w:rPr>
    </w:lvl>
    <w:lvl w:ilvl="3" w:tplc="962EEA1E" w:tentative="1">
      <w:start w:val="1"/>
      <w:numFmt w:val="bullet"/>
      <w:lvlText w:val="•"/>
      <w:lvlJc w:val="left"/>
      <w:pPr>
        <w:tabs>
          <w:tab w:val="num" w:pos="2880"/>
        </w:tabs>
        <w:ind w:left="2880" w:hanging="360"/>
      </w:pPr>
      <w:rPr>
        <w:rFonts w:ascii="Arial" w:hAnsi="Arial" w:hint="default"/>
      </w:rPr>
    </w:lvl>
    <w:lvl w:ilvl="4" w:tplc="3CFE456A" w:tentative="1">
      <w:start w:val="1"/>
      <w:numFmt w:val="bullet"/>
      <w:lvlText w:val="•"/>
      <w:lvlJc w:val="left"/>
      <w:pPr>
        <w:tabs>
          <w:tab w:val="num" w:pos="3600"/>
        </w:tabs>
        <w:ind w:left="3600" w:hanging="360"/>
      </w:pPr>
      <w:rPr>
        <w:rFonts w:ascii="Arial" w:hAnsi="Arial" w:hint="default"/>
      </w:rPr>
    </w:lvl>
    <w:lvl w:ilvl="5" w:tplc="79B22EC0" w:tentative="1">
      <w:start w:val="1"/>
      <w:numFmt w:val="bullet"/>
      <w:lvlText w:val="•"/>
      <w:lvlJc w:val="left"/>
      <w:pPr>
        <w:tabs>
          <w:tab w:val="num" w:pos="4320"/>
        </w:tabs>
        <w:ind w:left="4320" w:hanging="360"/>
      </w:pPr>
      <w:rPr>
        <w:rFonts w:ascii="Arial" w:hAnsi="Arial" w:hint="default"/>
      </w:rPr>
    </w:lvl>
    <w:lvl w:ilvl="6" w:tplc="CCEE847C" w:tentative="1">
      <w:start w:val="1"/>
      <w:numFmt w:val="bullet"/>
      <w:lvlText w:val="•"/>
      <w:lvlJc w:val="left"/>
      <w:pPr>
        <w:tabs>
          <w:tab w:val="num" w:pos="5040"/>
        </w:tabs>
        <w:ind w:left="5040" w:hanging="360"/>
      </w:pPr>
      <w:rPr>
        <w:rFonts w:ascii="Arial" w:hAnsi="Arial" w:hint="default"/>
      </w:rPr>
    </w:lvl>
    <w:lvl w:ilvl="7" w:tplc="02B09AFC" w:tentative="1">
      <w:start w:val="1"/>
      <w:numFmt w:val="bullet"/>
      <w:lvlText w:val="•"/>
      <w:lvlJc w:val="left"/>
      <w:pPr>
        <w:tabs>
          <w:tab w:val="num" w:pos="5760"/>
        </w:tabs>
        <w:ind w:left="5760" w:hanging="360"/>
      </w:pPr>
      <w:rPr>
        <w:rFonts w:ascii="Arial" w:hAnsi="Arial" w:hint="default"/>
      </w:rPr>
    </w:lvl>
    <w:lvl w:ilvl="8" w:tplc="3DEAACA6" w:tentative="1">
      <w:start w:val="1"/>
      <w:numFmt w:val="bullet"/>
      <w:lvlText w:val="•"/>
      <w:lvlJc w:val="left"/>
      <w:pPr>
        <w:tabs>
          <w:tab w:val="num" w:pos="6480"/>
        </w:tabs>
        <w:ind w:left="6480" w:hanging="360"/>
      </w:pPr>
      <w:rPr>
        <w:rFonts w:ascii="Arial" w:hAnsi="Arial" w:hint="default"/>
      </w:rPr>
    </w:lvl>
  </w:abstractNum>
  <w:abstractNum w:abstractNumId="12">
    <w:nsid w:val="34A31BAC"/>
    <w:multiLevelType w:val="hybridMultilevel"/>
    <w:tmpl w:val="95E851F0"/>
    <w:lvl w:ilvl="0" w:tplc="F258A6E2">
      <w:start w:val="1"/>
      <w:numFmt w:val="bullet"/>
      <w:pStyle w:val="Puceorange"/>
      <w:lvlText w:val="•"/>
      <w:lvlJc w:val="left"/>
      <w:pPr>
        <w:ind w:left="720" w:hanging="360"/>
      </w:pPr>
      <w:rPr>
        <w:rFonts w:ascii="Calibri" w:hAnsi="Calibri" w:cs="Calibri" w:hint="default"/>
        <w:b/>
        <w:i w:val="0"/>
        <w:color w:val="auto"/>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0E05CB"/>
    <w:multiLevelType w:val="hybridMultilevel"/>
    <w:tmpl w:val="B94406E2"/>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D290A2B"/>
    <w:multiLevelType w:val="hybridMultilevel"/>
    <w:tmpl w:val="8DE65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0E666DC"/>
    <w:multiLevelType w:val="hybridMultilevel"/>
    <w:tmpl w:val="97D06E2E"/>
    <w:lvl w:ilvl="0" w:tplc="5A6AF88A">
      <w:start w:val="1"/>
      <w:numFmt w:val="bullet"/>
      <w:lvlText w:val="•"/>
      <w:lvlJc w:val="left"/>
      <w:pPr>
        <w:tabs>
          <w:tab w:val="num" w:pos="720"/>
        </w:tabs>
        <w:ind w:left="720" w:hanging="360"/>
      </w:pPr>
      <w:rPr>
        <w:rFonts w:ascii="Arial" w:hAnsi="Arial" w:hint="default"/>
      </w:rPr>
    </w:lvl>
    <w:lvl w:ilvl="1" w:tplc="7730C6A0">
      <w:start w:val="1274"/>
      <w:numFmt w:val="bullet"/>
      <w:lvlText w:val="o"/>
      <w:lvlJc w:val="left"/>
      <w:pPr>
        <w:tabs>
          <w:tab w:val="num" w:pos="1440"/>
        </w:tabs>
        <w:ind w:left="1440" w:hanging="360"/>
      </w:pPr>
      <w:rPr>
        <w:rFonts w:ascii="Courier New" w:hAnsi="Courier New" w:hint="default"/>
      </w:rPr>
    </w:lvl>
    <w:lvl w:ilvl="2" w:tplc="8E5CF2F4" w:tentative="1">
      <w:start w:val="1"/>
      <w:numFmt w:val="bullet"/>
      <w:lvlText w:val="•"/>
      <w:lvlJc w:val="left"/>
      <w:pPr>
        <w:tabs>
          <w:tab w:val="num" w:pos="2160"/>
        </w:tabs>
        <w:ind w:left="2160" w:hanging="360"/>
      </w:pPr>
      <w:rPr>
        <w:rFonts w:ascii="Arial" w:hAnsi="Arial" w:hint="default"/>
      </w:rPr>
    </w:lvl>
    <w:lvl w:ilvl="3" w:tplc="1E16795C" w:tentative="1">
      <w:start w:val="1"/>
      <w:numFmt w:val="bullet"/>
      <w:lvlText w:val="•"/>
      <w:lvlJc w:val="left"/>
      <w:pPr>
        <w:tabs>
          <w:tab w:val="num" w:pos="2880"/>
        </w:tabs>
        <w:ind w:left="2880" w:hanging="360"/>
      </w:pPr>
      <w:rPr>
        <w:rFonts w:ascii="Arial" w:hAnsi="Arial" w:hint="default"/>
      </w:rPr>
    </w:lvl>
    <w:lvl w:ilvl="4" w:tplc="46881DEE" w:tentative="1">
      <w:start w:val="1"/>
      <w:numFmt w:val="bullet"/>
      <w:lvlText w:val="•"/>
      <w:lvlJc w:val="left"/>
      <w:pPr>
        <w:tabs>
          <w:tab w:val="num" w:pos="3600"/>
        </w:tabs>
        <w:ind w:left="3600" w:hanging="360"/>
      </w:pPr>
      <w:rPr>
        <w:rFonts w:ascii="Arial" w:hAnsi="Arial" w:hint="default"/>
      </w:rPr>
    </w:lvl>
    <w:lvl w:ilvl="5" w:tplc="AFCCC096" w:tentative="1">
      <w:start w:val="1"/>
      <w:numFmt w:val="bullet"/>
      <w:lvlText w:val="•"/>
      <w:lvlJc w:val="left"/>
      <w:pPr>
        <w:tabs>
          <w:tab w:val="num" w:pos="4320"/>
        </w:tabs>
        <w:ind w:left="4320" w:hanging="360"/>
      </w:pPr>
      <w:rPr>
        <w:rFonts w:ascii="Arial" w:hAnsi="Arial" w:hint="default"/>
      </w:rPr>
    </w:lvl>
    <w:lvl w:ilvl="6" w:tplc="BE08B0A4" w:tentative="1">
      <w:start w:val="1"/>
      <w:numFmt w:val="bullet"/>
      <w:lvlText w:val="•"/>
      <w:lvlJc w:val="left"/>
      <w:pPr>
        <w:tabs>
          <w:tab w:val="num" w:pos="5040"/>
        </w:tabs>
        <w:ind w:left="5040" w:hanging="360"/>
      </w:pPr>
      <w:rPr>
        <w:rFonts w:ascii="Arial" w:hAnsi="Arial" w:hint="default"/>
      </w:rPr>
    </w:lvl>
    <w:lvl w:ilvl="7" w:tplc="156AF044" w:tentative="1">
      <w:start w:val="1"/>
      <w:numFmt w:val="bullet"/>
      <w:lvlText w:val="•"/>
      <w:lvlJc w:val="left"/>
      <w:pPr>
        <w:tabs>
          <w:tab w:val="num" w:pos="5760"/>
        </w:tabs>
        <w:ind w:left="5760" w:hanging="360"/>
      </w:pPr>
      <w:rPr>
        <w:rFonts w:ascii="Arial" w:hAnsi="Arial" w:hint="default"/>
      </w:rPr>
    </w:lvl>
    <w:lvl w:ilvl="8" w:tplc="132E3B7A" w:tentative="1">
      <w:start w:val="1"/>
      <w:numFmt w:val="bullet"/>
      <w:lvlText w:val="•"/>
      <w:lvlJc w:val="left"/>
      <w:pPr>
        <w:tabs>
          <w:tab w:val="num" w:pos="6480"/>
        </w:tabs>
        <w:ind w:left="6480" w:hanging="360"/>
      </w:pPr>
      <w:rPr>
        <w:rFonts w:ascii="Arial" w:hAnsi="Arial" w:hint="default"/>
      </w:rPr>
    </w:lvl>
  </w:abstractNum>
  <w:abstractNum w:abstractNumId="16">
    <w:nsid w:val="40E84997"/>
    <w:multiLevelType w:val="hybridMultilevel"/>
    <w:tmpl w:val="90629E14"/>
    <w:lvl w:ilvl="0" w:tplc="758A9EE8">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7">
    <w:nsid w:val="472C2838"/>
    <w:multiLevelType w:val="hybridMultilevel"/>
    <w:tmpl w:val="2ED88776"/>
    <w:lvl w:ilvl="0" w:tplc="53E87466">
      <w:start w:val="1"/>
      <w:numFmt w:val="bullet"/>
      <w:pStyle w:val="Style2"/>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220C7F"/>
    <w:multiLevelType w:val="multilevel"/>
    <w:tmpl w:val="41548070"/>
    <w:styleLink w:val="WW8Num3"/>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19">
    <w:nsid w:val="4868753E"/>
    <w:multiLevelType w:val="hybridMultilevel"/>
    <w:tmpl w:val="93743DC2"/>
    <w:lvl w:ilvl="0" w:tplc="937433E4">
      <w:start w:val="1"/>
      <w:numFmt w:val="bullet"/>
      <w:pStyle w:val="Pucecorpsdetexte"/>
      <w:lvlText w:val="•"/>
      <w:lvlJc w:val="left"/>
      <w:pPr>
        <w:ind w:left="720" w:hanging="360"/>
      </w:pPr>
      <w:rPr>
        <w:rFonts w:ascii="Calibri" w:hAnsi="Calibri" w:cs="Calibri" w:hint="default"/>
        <w:b/>
        <w:i w:val="0"/>
        <w:color w:val="A6A6A6"/>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425331"/>
    <w:multiLevelType w:val="hybridMultilevel"/>
    <w:tmpl w:val="50B8208E"/>
    <w:lvl w:ilvl="0" w:tplc="504A8E86">
      <w:numFmt w:val="bullet"/>
      <w:lvlText w:val="-"/>
      <w:lvlJc w:val="left"/>
      <w:pPr>
        <w:ind w:left="720" w:hanging="360"/>
      </w:pPr>
      <w:rPr>
        <w:rFonts w:ascii="Calibri" w:eastAsia="Times New Roman" w:hAnsi="Calibri" w:hint="default"/>
        <w:color w:val="7F7F7F"/>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nsid w:val="500D59BF"/>
    <w:multiLevelType w:val="hybridMultilevel"/>
    <w:tmpl w:val="8CFC3028"/>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2">
    <w:nsid w:val="5108742F"/>
    <w:multiLevelType w:val="hybridMultilevel"/>
    <w:tmpl w:val="74C40804"/>
    <w:lvl w:ilvl="0" w:tplc="932EADFE">
      <w:start w:val="20"/>
      <w:numFmt w:val="bullet"/>
      <w:lvlText w:val="-"/>
      <w:lvlJc w:val="left"/>
      <w:pPr>
        <w:ind w:left="1080" w:hanging="360"/>
      </w:pPr>
      <w:rPr>
        <w:rFonts w:ascii="Calibri" w:eastAsia="Times New Roman" w:hAnsi="Calibri" w:hint="default"/>
        <w:b/>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869455C8">
      <w:numFmt w:val="bullet"/>
      <w:lvlText w:val="−"/>
      <w:lvlJc w:val="left"/>
      <w:pPr>
        <w:ind w:left="3240" w:hanging="360"/>
      </w:pPr>
      <w:rPr>
        <w:rFonts w:ascii="Calibri" w:eastAsia="Times New Roman" w:hAnsi="Calibri"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23">
    <w:nsid w:val="51282A03"/>
    <w:multiLevelType w:val="hybridMultilevel"/>
    <w:tmpl w:val="D3C609AE"/>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4">
    <w:nsid w:val="523332BA"/>
    <w:multiLevelType w:val="hybridMultilevel"/>
    <w:tmpl w:val="95A0951C"/>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36929F2"/>
    <w:multiLevelType w:val="hybridMultilevel"/>
    <w:tmpl w:val="23DAA7A8"/>
    <w:lvl w:ilvl="0" w:tplc="899242FA">
      <w:start w:val="1"/>
      <w:numFmt w:val="bullet"/>
      <w:lvlText w:val=""/>
      <w:lvlJc w:val="left"/>
      <w:pPr>
        <w:ind w:left="720" w:hanging="360"/>
      </w:pPr>
      <w:rPr>
        <w:rFonts w:ascii="Symbol" w:hAnsi="Symbol" w:hint="default"/>
        <w:color w:val="auto"/>
      </w:rPr>
    </w:lvl>
    <w:lvl w:ilvl="1" w:tplc="4642A82E">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405FE6"/>
    <w:multiLevelType w:val="hybridMultilevel"/>
    <w:tmpl w:val="72EA06E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nsid w:val="5BB85F98"/>
    <w:multiLevelType w:val="multilevel"/>
    <w:tmpl w:val="0B2A8B4E"/>
    <w:styleLink w:val="WW8Num2"/>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28">
    <w:nsid w:val="64D92B79"/>
    <w:multiLevelType w:val="hybridMultilevel"/>
    <w:tmpl w:val="E2241CB6"/>
    <w:lvl w:ilvl="0" w:tplc="899242FA">
      <w:start w:val="1"/>
      <w:numFmt w:val="bullet"/>
      <w:lvlText w:val=""/>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76CD742D"/>
    <w:multiLevelType w:val="multilevel"/>
    <w:tmpl w:val="4554F2F8"/>
    <w:styleLink w:val="WW8Num1"/>
    <w:lvl w:ilvl="0">
      <w:numFmt w:val="bullet"/>
      <w:lvlText w:val=""/>
      <w:lvlJc w:val="left"/>
      <w:rPr>
        <w:rFonts w:ascii="Wingdings 2" w:hAnsi="Wingdings 2" w:cs="OpenSymbol, 'Arial Unicode MS'"/>
      </w:rPr>
    </w:lvl>
    <w:lvl w:ilvl="1">
      <w:numFmt w:val="bullet"/>
      <w:lvlText w:val=""/>
      <w:lvlJc w:val="left"/>
      <w:rPr>
        <w:rFonts w:ascii="Wingdings 2" w:hAnsi="Wingdings 2" w:cs="OpenSymbol, 'Arial Unicode MS'"/>
      </w:rPr>
    </w:lvl>
    <w:lvl w:ilvl="2">
      <w:numFmt w:val="bullet"/>
      <w:lvlText w:val=""/>
      <w:lvlJc w:val="left"/>
      <w:rPr>
        <w:rFonts w:ascii="Wingdings 2" w:hAnsi="Wingdings 2" w:cs="OpenSymbol, 'Arial Unicode MS'"/>
      </w:rPr>
    </w:lvl>
    <w:lvl w:ilvl="3">
      <w:numFmt w:val="bullet"/>
      <w:lvlText w:val=""/>
      <w:lvlJc w:val="left"/>
      <w:rPr>
        <w:rFonts w:ascii="Wingdings 2" w:hAnsi="Wingdings 2" w:cs="OpenSymbol, 'Arial Unicode MS'"/>
      </w:rPr>
    </w:lvl>
    <w:lvl w:ilvl="4">
      <w:numFmt w:val="bullet"/>
      <w:lvlText w:val=""/>
      <w:lvlJc w:val="left"/>
      <w:rPr>
        <w:rFonts w:ascii="Wingdings 2" w:hAnsi="Wingdings 2" w:cs="OpenSymbol, 'Arial Unicode MS'"/>
      </w:rPr>
    </w:lvl>
    <w:lvl w:ilvl="5">
      <w:numFmt w:val="bullet"/>
      <w:lvlText w:val=""/>
      <w:lvlJc w:val="left"/>
      <w:rPr>
        <w:rFonts w:ascii="Wingdings 2" w:hAnsi="Wingdings 2" w:cs="OpenSymbol, 'Arial Unicode MS'"/>
      </w:rPr>
    </w:lvl>
    <w:lvl w:ilvl="6">
      <w:numFmt w:val="bullet"/>
      <w:lvlText w:val=""/>
      <w:lvlJc w:val="left"/>
      <w:rPr>
        <w:rFonts w:ascii="Wingdings 2" w:hAnsi="Wingdings 2" w:cs="OpenSymbol, 'Arial Unicode MS'"/>
      </w:rPr>
    </w:lvl>
    <w:lvl w:ilvl="7">
      <w:numFmt w:val="bullet"/>
      <w:lvlText w:val=""/>
      <w:lvlJc w:val="left"/>
      <w:rPr>
        <w:rFonts w:ascii="Wingdings 2" w:hAnsi="Wingdings 2" w:cs="OpenSymbol, 'Arial Unicode MS'"/>
      </w:rPr>
    </w:lvl>
    <w:lvl w:ilvl="8">
      <w:numFmt w:val="bullet"/>
      <w:lvlText w:val=""/>
      <w:lvlJc w:val="left"/>
      <w:rPr>
        <w:rFonts w:ascii="Wingdings 2" w:hAnsi="Wingdings 2" w:cs="OpenSymbol, 'Arial Unicode MS'"/>
      </w:rPr>
    </w:lvl>
  </w:abstractNum>
  <w:abstractNum w:abstractNumId="30">
    <w:nsid w:val="79701C3C"/>
    <w:multiLevelType w:val="hybridMultilevel"/>
    <w:tmpl w:val="39FC03E8"/>
    <w:lvl w:ilvl="0" w:tplc="B70AA8CE">
      <w:start w:val="1"/>
      <w:numFmt w:val="bullet"/>
      <w:pStyle w:val="Puce1"/>
      <w:lvlText w:val="-"/>
      <w:lvlJc w:val="left"/>
      <w:pPr>
        <w:ind w:left="720" w:hanging="360"/>
      </w:pPr>
      <w:rPr>
        <w:rFonts w:ascii="Courier New" w:hAnsi="Courier New" w:cs="Times New Roman" w:hint="default"/>
        <w:color w:val="8A8B8D" w:themeColor="text2"/>
      </w:rPr>
    </w:lvl>
    <w:lvl w:ilvl="1" w:tplc="2A209444">
      <w:start w:val="1"/>
      <w:numFmt w:val="bullet"/>
      <w:lvlText w:val=""/>
      <w:lvlJc w:val="left"/>
      <w:pPr>
        <w:ind w:left="1440" w:hanging="360"/>
      </w:pPr>
      <w:rPr>
        <w:rFonts w:ascii="Symbol" w:hAnsi="Symbol" w:hint="default"/>
        <w:color w:val="8A8B8D" w:themeColor="text2"/>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nsid w:val="7A4869C6"/>
    <w:multiLevelType w:val="hybridMultilevel"/>
    <w:tmpl w:val="5D04DA92"/>
    <w:lvl w:ilvl="0" w:tplc="899242F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8"/>
  </w:num>
  <w:num w:numId="3">
    <w:abstractNumId w:val="30"/>
  </w:num>
  <w:num w:numId="4">
    <w:abstractNumId w:val="19"/>
  </w:num>
  <w:num w:numId="5">
    <w:abstractNumId w:val="27"/>
  </w:num>
  <w:num w:numId="6">
    <w:abstractNumId w:val="18"/>
  </w:num>
  <w:num w:numId="7">
    <w:abstractNumId w:val="29"/>
  </w:num>
  <w:num w:numId="8">
    <w:abstractNumId w:val="7"/>
  </w:num>
  <w:num w:numId="9">
    <w:abstractNumId w:val="28"/>
  </w:num>
  <w:num w:numId="10">
    <w:abstractNumId w:val="16"/>
  </w:num>
  <w:num w:numId="11">
    <w:abstractNumId w:val="17"/>
  </w:num>
  <w:num w:numId="12">
    <w:abstractNumId w:val="14"/>
  </w:num>
  <w:num w:numId="13">
    <w:abstractNumId w:val="1"/>
  </w:num>
  <w:num w:numId="14">
    <w:abstractNumId w:val="24"/>
  </w:num>
  <w:num w:numId="15">
    <w:abstractNumId w:val="3"/>
  </w:num>
  <w:num w:numId="16">
    <w:abstractNumId w:val="9"/>
  </w:num>
  <w:num w:numId="17">
    <w:abstractNumId w:val="6"/>
  </w:num>
  <w:num w:numId="18">
    <w:abstractNumId w:val="26"/>
  </w:num>
  <w:num w:numId="19">
    <w:abstractNumId w:val="13"/>
  </w:num>
  <w:num w:numId="20">
    <w:abstractNumId w:val="0"/>
  </w:num>
  <w:num w:numId="21">
    <w:abstractNumId w:val="5"/>
  </w:num>
  <w:num w:numId="22">
    <w:abstractNumId w:val="25"/>
  </w:num>
  <w:num w:numId="23">
    <w:abstractNumId w:val="31"/>
  </w:num>
  <w:num w:numId="24">
    <w:abstractNumId w:val="23"/>
  </w:num>
  <w:num w:numId="25">
    <w:abstractNumId w:val="22"/>
  </w:num>
  <w:num w:numId="26">
    <w:abstractNumId w:val="20"/>
  </w:num>
  <w:num w:numId="27">
    <w:abstractNumId w:val="10"/>
  </w:num>
  <w:num w:numId="28">
    <w:abstractNumId w:val="11"/>
  </w:num>
  <w:num w:numId="29">
    <w:abstractNumId w:val="15"/>
  </w:num>
  <w:num w:numId="30">
    <w:abstractNumId w:val="2"/>
  </w:num>
  <w:num w:numId="31">
    <w:abstractNumId w:val="4"/>
  </w:num>
  <w:num w:numId="32">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41"/>
    <w:rsid w:val="00002BBD"/>
    <w:rsid w:val="00004E85"/>
    <w:rsid w:val="000058EA"/>
    <w:rsid w:val="00005C8A"/>
    <w:rsid w:val="00013401"/>
    <w:rsid w:val="00015181"/>
    <w:rsid w:val="000229E6"/>
    <w:rsid w:val="0002481F"/>
    <w:rsid w:val="00030439"/>
    <w:rsid w:val="000351C6"/>
    <w:rsid w:val="000362EE"/>
    <w:rsid w:val="00043B59"/>
    <w:rsid w:val="00046295"/>
    <w:rsid w:val="00047041"/>
    <w:rsid w:val="00047A8F"/>
    <w:rsid w:val="00047CD6"/>
    <w:rsid w:val="00047E2D"/>
    <w:rsid w:val="000610B9"/>
    <w:rsid w:val="000678C5"/>
    <w:rsid w:val="000703D1"/>
    <w:rsid w:val="00071FBC"/>
    <w:rsid w:val="00072F29"/>
    <w:rsid w:val="00076B7E"/>
    <w:rsid w:val="00081483"/>
    <w:rsid w:val="000835C4"/>
    <w:rsid w:val="000A03D6"/>
    <w:rsid w:val="000A1A1D"/>
    <w:rsid w:val="000A2E07"/>
    <w:rsid w:val="000A4220"/>
    <w:rsid w:val="000A453E"/>
    <w:rsid w:val="000A6171"/>
    <w:rsid w:val="000A62D5"/>
    <w:rsid w:val="000B57DA"/>
    <w:rsid w:val="000C11D6"/>
    <w:rsid w:val="000C1391"/>
    <w:rsid w:val="000C1985"/>
    <w:rsid w:val="000C2669"/>
    <w:rsid w:val="000C3458"/>
    <w:rsid w:val="000C6ACE"/>
    <w:rsid w:val="000C71F5"/>
    <w:rsid w:val="000D0DBB"/>
    <w:rsid w:val="000D49E8"/>
    <w:rsid w:val="000D546F"/>
    <w:rsid w:val="000D5F2B"/>
    <w:rsid w:val="000D72ED"/>
    <w:rsid w:val="000E31CE"/>
    <w:rsid w:val="000E5497"/>
    <w:rsid w:val="000E5806"/>
    <w:rsid w:val="000E58F4"/>
    <w:rsid w:val="000F2874"/>
    <w:rsid w:val="000F4892"/>
    <w:rsid w:val="000F5827"/>
    <w:rsid w:val="000F7DC9"/>
    <w:rsid w:val="000F7FEB"/>
    <w:rsid w:val="00101D41"/>
    <w:rsid w:val="00102B7F"/>
    <w:rsid w:val="00104F76"/>
    <w:rsid w:val="001067B1"/>
    <w:rsid w:val="00106AA4"/>
    <w:rsid w:val="00110B54"/>
    <w:rsid w:val="001120D3"/>
    <w:rsid w:val="0012169A"/>
    <w:rsid w:val="00124209"/>
    <w:rsid w:val="00125817"/>
    <w:rsid w:val="00125E44"/>
    <w:rsid w:val="00131E18"/>
    <w:rsid w:val="00131FB8"/>
    <w:rsid w:val="001323E4"/>
    <w:rsid w:val="00134B43"/>
    <w:rsid w:val="0013710C"/>
    <w:rsid w:val="00141C48"/>
    <w:rsid w:val="00144CC3"/>
    <w:rsid w:val="001452C0"/>
    <w:rsid w:val="00145813"/>
    <w:rsid w:val="001471FE"/>
    <w:rsid w:val="00147F8A"/>
    <w:rsid w:val="00150A1F"/>
    <w:rsid w:val="00151343"/>
    <w:rsid w:val="00157A22"/>
    <w:rsid w:val="0016070B"/>
    <w:rsid w:val="00160B49"/>
    <w:rsid w:val="001612A0"/>
    <w:rsid w:val="00165DF9"/>
    <w:rsid w:val="00166F0B"/>
    <w:rsid w:val="00167CF7"/>
    <w:rsid w:val="00173070"/>
    <w:rsid w:val="00173A93"/>
    <w:rsid w:val="00173DC8"/>
    <w:rsid w:val="001759E0"/>
    <w:rsid w:val="0017610D"/>
    <w:rsid w:val="0018087A"/>
    <w:rsid w:val="00180D09"/>
    <w:rsid w:val="0018305E"/>
    <w:rsid w:val="0018593B"/>
    <w:rsid w:val="0018632B"/>
    <w:rsid w:val="0018665E"/>
    <w:rsid w:val="00187B0A"/>
    <w:rsid w:val="00192FB6"/>
    <w:rsid w:val="001A0EC0"/>
    <w:rsid w:val="001A1232"/>
    <w:rsid w:val="001A3E79"/>
    <w:rsid w:val="001B06A3"/>
    <w:rsid w:val="001B1CE2"/>
    <w:rsid w:val="001B3C7E"/>
    <w:rsid w:val="001B4C3D"/>
    <w:rsid w:val="001B68B1"/>
    <w:rsid w:val="001B7D50"/>
    <w:rsid w:val="001C0B2D"/>
    <w:rsid w:val="001C1A7B"/>
    <w:rsid w:val="001C67CC"/>
    <w:rsid w:val="001D0B5C"/>
    <w:rsid w:val="001D12CF"/>
    <w:rsid w:val="001D1CDD"/>
    <w:rsid w:val="001D2B9D"/>
    <w:rsid w:val="001D2C63"/>
    <w:rsid w:val="001D680C"/>
    <w:rsid w:val="001E1E28"/>
    <w:rsid w:val="001E3061"/>
    <w:rsid w:val="001E40F1"/>
    <w:rsid w:val="001F0C76"/>
    <w:rsid w:val="001F1259"/>
    <w:rsid w:val="001F2FA8"/>
    <w:rsid w:val="001F3B99"/>
    <w:rsid w:val="001F4AA8"/>
    <w:rsid w:val="001F55A6"/>
    <w:rsid w:val="001F6A19"/>
    <w:rsid w:val="002004A2"/>
    <w:rsid w:val="00200868"/>
    <w:rsid w:val="00200DD8"/>
    <w:rsid w:val="00210AEB"/>
    <w:rsid w:val="00214735"/>
    <w:rsid w:val="00215E10"/>
    <w:rsid w:val="00216BD5"/>
    <w:rsid w:val="00221276"/>
    <w:rsid w:val="00225C46"/>
    <w:rsid w:val="00230762"/>
    <w:rsid w:val="002319F0"/>
    <w:rsid w:val="00232A6B"/>
    <w:rsid w:val="002348D3"/>
    <w:rsid w:val="0023592A"/>
    <w:rsid w:val="00236AC1"/>
    <w:rsid w:val="00236E04"/>
    <w:rsid w:val="0023772D"/>
    <w:rsid w:val="00237BE9"/>
    <w:rsid w:val="00240C3E"/>
    <w:rsid w:val="002418A2"/>
    <w:rsid w:val="0024269F"/>
    <w:rsid w:val="0024453D"/>
    <w:rsid w:val="00250FAD"/>
    <w:rsid w:val="00252C1B"/>
    <w:rsid w:val="0025382F"/>
    <w:rsid w:val="00263F6F"/>
    <w:rsid w:val="00264929"/>
    <w:rsid w:val="00266250"/>
    <w:rsid w:val="00267BB1"/>
    <w:rsid w:val="002725F9"/>
    <w:rsid w:val="00274936"/>
    <w:rsid w:val="00275C2E"/>
    <w:rsid w:val="00276667"/>
    <w:rsid w:val="00276B9C"/>
    <w:rsid w:val="002824EF"/>
    <w:rsid w:val="002844AF"/>
    <w:rsid w:val="00285176"/>
    <w:rsid w:val="00285F3C"/>
    <w:rsid w:val="00286C8A"/>
    <w:rsid w:val="00290E00"/>
    <w:rsid w:val="00292811"/>
    <w:rsid w:val="002936F6"/>
    <w:rsid w:val="00293E78"/>
    <w:rsid w:val="00294AF3"/>
    <w:rsid w:val="002A7DAF"/>
    <w:rsid w:val="002B0093"/>
    <w:rsid w:val="002B0FE9"/>
    <w:rsid w:val="002B30C6"/>
    <w:rsid w:val="002B5389"/>
    <w:rsid w:val="002B678C"/>
    <w:rsid w:val="002B67D4"/>
    <w:rsid w:val="002B7464"/>
    <w:rsid w:val="002B7A8D"/>
    <w:rsid w:val="002C07EA"/>
    <w:rsid w:val="002C30A8"/>
    <w:rsid w:val="002C3807"/>
    <w:rsid w:val="002C3C1A"/>
    <w:rsid w:val="002C51B0"/>
    <w:rsid w:val="002C6040"/>
    <w:rsid w:val="002C6605"/>
    <w:rsid w:val="002D02F8"/>
    <w:rsid w:val="002E0199"/>
    <w:rsid w:val="002E1B5C"/>
    <w:rsid w:val="002E2723"/>
    <w:rsid w:val="002F030F"/>
    <w:rsid w:val="002F435C"/>
    <w:rsid w:val="002F609E"/>
    <w:rsid w:val="002F6D79"/>
    <w:rsid w:val="0030115A"/>
    <w:rsid w:val="00303A3B"/>
    <w:rsid w:val="003043EF"/>
    <w:rsid w:val="00304BC5"/>
    <w:rsid w:val="0030659B"/>
    <w:rsid w:val="00312795"/>
    <w:rsid w:val="00313717"/>
    <w:rsid w:val="00313C4B"/>
    <w:rsid w:val="0031475C"/>
    <w:rsid w:val="0032118C"/>
    <w:rsid w:val="00321DCE"/>
    <w:rsid w:val="003226B5"/>
    <w:rsid w:val="003226C3"/>
    <w:rsid w:val="00323B4F"/>
    <w:rsid w:val="003245E2"/>
    <w:rsid w:val="00325396"/>
    <w:rsid w:val="00325AC8"/>
    <w:rsid w:val="003334FE"/>
    <w:rsid w:val="00333C9F"/>
    <w:rsid w:val="00336015"/>
    <w:rsid w:val="00336BDD"/>
    <w:rsid w:val="00340089"/>
    <w:rsid w:val="0034226B"/>
    <w:rsid w:val="00345E87"/>
    <w:rsid w:val="0035361E"/>
    <w:rsid w:val="00355A72"/>
    <w:rsid w:val="00360B93"/>
    <w:rsid w:val="00363B88"/>
    <w:rsid w:val="00366248"/>
    <w:rsid w:val="003663D4"/>
    <w:rsid w:val="00370721"/>
    <w:rsid w:val="00371260"/>
    <w:rsid w:val="00372B1F"/>
    <w:rsid w:val="00373846"/>
    <w:rsid w:val="00380356"/>
    <w:rsid w:val="0038232D"/>
    <w:rsid w:val="00385140"/>
    <w:rsid w:val="00386EC9"/>
    <w:rsid w:val="003873E2"/>
    <w:rsid w:val="003922F2"/>
    <w:rsid w:val="0039332E"/>
    <w:rsid w:val="00393366"/>
    <w:rsid w:val="00394333"/>
    <w:rsid w:val="003950B0"/>
    <w:rsid w:val="0039765D"/>
    <w:rsid w:val="003A000A"/>
    <w:rsid w:val="003A294C"/>
    <w:rsid w:val="003A2DD8"/>
    <w:rsid w:val="003A4ECF"/>
    <w:rsid w:val="003B06A9"/>
    <w:rsid w:val="003B14DF"/>
    <w:rsid w:val="003B1AF6"/>
    <w:rsid w:val="003B1E56"/>
    <w:rsid w:val="003B4F42"/>
    <w:rsid w:val="003B5D72"/>
    <w:rsid w:val="003B757A"/>
    <w:rsid w:val="003C122F"/>
    <w:rsid w:val="003C72A4"/>
    <w:rsid w:val="003C7853"/>
    <w:rsid w:val="003D596F"/>
    <w:rsid w:val="003D6F0E"/>
    <w:rsid w:val="003D778F"/>
    <w:rsid w:val="003D7974"/>
    <w:rsid w:val="003E303E"/>
    <w:rsid w:val="003E3421"/>
    <w:rsid w:val="003E41FC"/>
    <w:rsid w:val="003F0081"/>
    <w:rsid w:val="003F096A"/>
    <w:rsid w:val="003F0AB4"/>
    <w:rsid w:val="003F1154"/>
    <w:rsid w:val="003F25D6"/>
    <w:rsid w:val="003F2E67"/>
    <w:rsid w:val="003F5FCD"/>
    <w:rsid w:val="00400CA5"/>
    <w:rsid w:val="0040158A"/>
    <w:rsid w:val="00402BC6"/>
    <w:rsid w:val="00402BF8"/>
    <w:rsid w:val="004046C7"/>
    <w:rsid w:val="0040518A"/>
    <w:rsid w:val="004068FB"/>
    <w:rsid w:val="00410E1E"/>
    <w:rsid w:val="00413F1B"/>
    <w:rsid w:val="00414174"/>
    <w:rsid w:val="00422AFC"/>
    <w:rsid w:val="00425922"/>
    <w:rsid w:val="00425DAE"/>
    <w:rsid w:val="00425F47"/>
    <w:rsid w:val="0042628E"/>
    <w:rsid w:val="00434794"/>
    <w:rsid w:val="00436E5A"/>
    <w:rsid w:val="004413E5"/>
    <w:rsid w:val="00441DF8"/>
    <w:rsid w:val="00441E03"/>
    <w:rsid w:val="00446003"/>
    <w:rsid w:val="00446939"/>
    <w:rsid w:val="00446BD5"/>
    <w:rsid w:val="00450DE1"/>
    <w:rsid w:val="00454E03"/>
    <w:rsid w:val="0045656B"/>
    <w:rsid w:val="00460687"/>
    <w:rsid w:val="00464645"/>
    <w:rsid w:val="004648C9"/>
    <w:rsid w:val="004672F4"/>
    <w:rsid w:val="00472A60"/>
    <w:rsid w:val="00472F87"/>
    <w:rsid w:val="00474A24"/>
    <w:rsid w:val="00477F13"/>
    <w:rsid w:val="00483AA6"/>
    <w:rsid w:val="00485274"/>
    <w:rsid w:val="00490284"/>
    <w:rsid w:val="004906B5"/>
    <w:rsid w:val="00490D49"/>
    <w:rsid w:val="00492BDF"/>
    <w:rsid w:val="00495013"/>
    <w:rsid w:val="004A5947"/>
    <w:rsid w:val="004B1EA1"/>
    <w:rsid w:val="004B6A80"/>
    <w:rsid w:val="004C016D"/>
    <w:rsid w:val="004C2242"/>
    <w:rsid w:val="004C4288"/>
    <w:rsid w:val="004D0A94"/>
    <w:rsid w:val="004D19D9"/>
    <w:rsid w:val="004D31E7"/>
    <w:rsid w:val="004D3F6F"/>
    <w:rsid w:val="004D4EEA"/>
    <w:rsid w:val="004D53CF"/>
    <w:rsid w:val="004D57F2"/>
    <w:rsid w:val="004D7979"/>
    <w:rsid w:val="004D7ADA"/>
    <w:rsid w:val="004E1488"/>
    <w:rsid w:val="004E56AC"/>
    <w:rsid w:val="004E5E83"/>
    <w:rsid w:val="004F014C"/>
    <w:rsid w:val="004F13CC"/>
    <w:rsid w:val="004F3506"/>
    <w:rsid w:val="004F680A"/>
    <w:rsid w:val="005008EE"/>
    <w:rsid w:val="00501416"/>
    <w:rsid w:val="00502C5A"/>
    <w:rsid w:val="0050394B"/>
    <w:rsid w:val="00503BAD"/>
    <w:rsid w:val="00504AD6"/>
    <w:rsid w:val="00507EF7"/>
    <w:rsid w:val="00510E2E"/>
    <w:rsid w:val="005116BB"/>
    <w:rsid w:val="00511DF0"/>
    <w:rsid w:val="0051317F"/>
    <w:rsid w:val="005135F4"/>
    <w:rsid w:val="00513660"/>
    <w:rsid w:val="00516381"/>
    <w:rsid w:val="00517830"/>
    <w:rsid w:val="00522820"/>
    <w:rsid w:val="00523CF0"/>
    <w:rsid w:val="00525839"/>
    <w:rsid w:val="00526B42"/>
    <w:rsid w:val="00534568"/>
    <w:rsid w:val="00541F74"/>
    <w:rsid w:val="00542B3A"/>
    <w:rsid w:val="00547E0F"/>
    <w:rsid w:val="0055073E"/>
    <w:rsid w:val="00550993"/>
    <w:rsid w:val="005539FD"/>
    <w:rsid w:val="00553DF8"/>
    <w:rsid w:val="00557F2E"/>
    <w:rsid w:val="00564C06"/>
    <w:rsid w:val="00565A47"/>
    <w:rsid w:val="00567633"/>
    <w:rsid w:val="00567D40"/>
    <w:rsid w:val="0057306D"/>
    <w:rsid w:val="00573DF6"/>
    <w:rsid w:val="005759E3"/>
    <w:rsid w:val="00576452"/>
    <w:rsid w:val="00580A14"/>
    <w:rsid w:val="005813F6"/>
    <w:rsid w:val="00592912"/>
    <w:rsid w:val="005A00AB"/>
    <w:rsid w:val="005A16A7"/>
    <w:rsid w:val="005A385E"/>
    <w:rsid w:val="005A53E5"/>
    <w:rsid w:val="005B2DC8"/>
    <w:rsid w:val="005B684A"/>
    <w:rsid w:val="005B737B"/>
    <w:rsid w:val="005C3D66"/>
    <w:rsid w:val="005C5072"/>
    <w:rsid w:val="005C74AE"/>
    <w:rsid w:val="005C7872"/>
    <w:rsid w:val="005C7D75"/>
    <w:rsid w:val="005D1DC4"/>
    <w:rsid w:val="005D2119"/>
    <w:rsid w:val="005D23EB"/>
    <w:rsid w:val="005D500C"/>
    <w:rsid w:val="005D6460"/>
    <w:rsid w:val="005E0428"/>
    <w:rsid w:val="005E07F0"/>
    <w:rsid w:val="005E1D51"/>
    <w:rsid w:val="005E4AE2"/>
    <w:rsid w:val="005E6EFE"/>
    <w:rsid w:val="005F5612"/>
    <w:rsid w:val="00601601"/>
    <w:rsid w:val="00602BCA"/>
    <w:rsid w:val="00607220"/>
    <w:rsid w:val="006108F5"/>
    <w:rsid w:val="00611C2B"/>
    <w:rsid w:val="0061491F"/>
    <w:rsid w:val="00614A11"/>
    <w:rsid w:val="00615C78"/>
    <w:rsid w:val="00617A95"/>
    <w:rsid w:val="0062355A"/>
    <w:rsid w:val="00625E28"/>
    <w:rsid w:val="00626BDC"/>
    <w:rsid w:val="0062709A"/>
    <w:rsid w:val="00627DCF"/>
    <w:rsid w:val="006360D6"/>
    <w:rsid w:val="006374D2"/>
    <w:rsid w:val="0063794B"/>
    <w:rsid w:val="0064011B"/>
    <w:rsid w:val="00643328"/>
    <w:rsid w:val="0064793D"/>
    <w:rsid w:val="00647A58"/>
    <w:rsid w:val="00651AB9"/>
    <w:rsid w:val="00651CBB"/>
    <w:rsid w:val="00652E80"/>
    <w:rsid w:val="0066439F"/>
    <w:rsid w:val="006707D3"/>
    <w:rsid w:val="00672AC9"/>
    <w:rsid w:val="00680509"/>
    <w:rsid w:val="00682198"/>
    <w:rsid w:val="006821AC"/>
    <w:rsid w:val="0068291D"/>
    <w:rsid w:val="006831D3"/>
    <w:rsid w:val="00683B6E"/>
    <w:rsid w:val="00686DC4"/>
    <w:rsid w:val="00693437"/>
    <w:rsid w:val="006A0EE0"/>
    <w:rsid w:val="006A3382"/>
    <w:rsid w:val="006A4A6E"/>
    <w:rsid w:val="006A586A"/>
    <w:rsid w:val="006A63E9"/>
    <w:rsid w:val="006A6625"/>
    <w:rsid w:val="006A67E3"/>
    <w:rsid w:val="006B03E1"/>
    <w:rsid w:val="006B0D6A"/>
    <w:rsid w:val="006B22CE"/>
    <w:rsid w:val="006B3693"/>
    <w:rsid w:val="006B51A5"/>
    <w:rsid w:val="006B5E09"/>
    <w:rsid w:val="006B71DD"/>
    <w:rsid w:val="006B7803"/>
    <w:rsid w:val="006C02D1"/>
    <w:rsid w:val="006C27A7"/>
    <w:rsid w:val="006C5113"/>
    <w:rsid w:val="006C5AA3"/>
    <w:rsid w:val="006C7DA4"/>
    <w:rsid w:val="006D01FF"/>
    <w:rsid w:val="006D384E"/>
    <w:rsid w:val="006D646A"/>
    <w:rsid w:val="006D6553"/>
    <w:rsid w:val="006D6986"/>
    <w:rsid w:val="006E1D5C"/>
    <w:rsid w:val="006E2959"/>
    <w:rsid w:val="006E2E35"/>
    <w:rsid w:val="006E393B"/>
    <w:rsid w:val="006E3F21"/>
    <w:rsid w:val="006F00F7"/>
    <w:rsid w:val="006F0D45"/>
    <w:rsid w:val="006F1156"/>
    <w:rsid w:val="006F3F0C"/>
    <w:rsid w:val="006F4526"/>
    <w:rsid w:val="006F5232"/>
    <w:rsid w:val="006F636E"/>
    <w:rsid w:val="006F7793"/>
    <w:rsid w:val="006F7B98"/>
    <w:rsid w:val="0070682C"/>
    <w:rsid w:val="007124BB"/>
    <w:rsid w:val="00713C1A"/>
    <w:rsid w:val="00721F10"/>
    <w:rsid w:val="00724769"/>
    <w:rsid w:val="007254EB"/>
    <w:rsid w:val="00735B64"/>
    <w:rsid w:val="00743EED"/>
    <w:rsid w:val="00746602"/>
    <w:rsid w:val="00750242"/>
    <w:rsid w:val="007578B9"/>
    <w:rsid w:val="00757B67"/>
    <w:rsid w:val="00760EC2"/>
    <w:rsid w:val="00763D25"/>
    <w:rsid w:val="007654D7"/>
    <w:rsid w:val="00773250"/>
    <w:rsid w:val="00777B63"/>
    <w:rsid w:val="007832F0"/>
    <w:rsid w:val="007837E1"/>
    <w:rsid w:val="0078433D"/>
    <w:rsid w:val="007A0394"/>
    <w:rsid w:val="007A0D69"/>
    <w:rsid w:val="007B6B43"/>
    <w:rsid w:val="007C1DCA"/>
    <w:rsid w:val="007C4D9B"/>
    <w:rsid w:val="007C4F10"/>
    <w:rsid w:val="007C7262"/>
    <w:rsid w:val="007D1C7B"/>
    <w:rsid w:val="007D5FBE"/>
    <w:rsid w:val="007D6B90"/>
    <w:rsid w:val="007E0ABA"/>
    <w:rsid w:val="007E0BF2"/>
    <w:rsid w:val="007E2856"/>
    <w:rsid w:val="007E2999"/>
    <w:rsid w:val="007E35E4"/>
    <w:rsid w:val="007E4FDF"/>
    <w:rsid w:val="007E6010"/>
    <w:rsid w:val="007E6F6C"/>
    <w:rsid w:val="007F01C2"/>
    <w:rsid w:val="007F07EC"/>
    <w:rsid w:val="007F6E3B"/>
    <w:rsid w:val="0080016A"/>
    <w:rsid w:val="0080050E"/>
    <w:rsid w:val="0080573E"/>
    <w:rsid w:val="008110E5"/>
    <w:rsid w:val="00811B56"/>
    <w:rsid w:val="00813AD8"/>
    <w:rsid w:val="008150B0"/>
    <w:rsid w:val="00815A56"/>
    <w:rsid w:val="00822620"/>
    <w:rsid w:val="00824BD7"/>
    <w:rsid w:val="0082507C"/>
    <w:rsid w:val="0082751C"/>
    <w:rsid w:val="00832A81"/>
    <w:rsid w:val="00833602"/>
    <w:rsid w:val="008354C9"/>
    <w:rsid w:val="00840FD2"/>
    <w:rsid w:val="0084241B"/>
    <w:rsid w:val="00844DBD"/>
    <w:rsid w:val="00852DBF"/>
    <w:rsid w:val="0085356E"/>
    <w:rsid w:val="00860FDD"/>
    <w:rsid w:val="00864484"/>
    <w:rsid w:val="00874076"/>
    <w:rsid w:val="00877B61"/>
    <w:rsid w:val="00892270"/>
    <w:rsid w:val="00892DA4"/>
    <w:rsid w:val="00896E2B"/>
    <w:rsid w:val="008A201F"/>
    <w:rsid w:val="008A6A07"/>
    <w:rsid w:val="008A6AB9"/>
    <w:rsid w:val="008B031C"/>
    <w:rsid w:val="008C181E"/>
    <w:rsid w:val="008C3C31"/>
    <w:rsid w:val="008C563B"/>
    <w:rsid w:val="008C6AF8"/>
    <w:rsid w:val="008C7669"/>
    <w:rsid w:val="008D24D4"/>
    <w:rsid w:val="008D6760"/>
    <w:rsid w:val="008D71F3"/>
    <w:rsid w:val="008E5250"/>
    <w:rsid w:val="008E6507"/>
    <w:rsid w:val="008E6590"/>
    <w:rsid w:val="008F2B2F"/>
    <w:rsid w:val="008F2E9B"/>
    <w:rsid w:val="008F3411"/>
    <w:rsid w:val="008F354D"/>
    <w:rsid w:val="0090603E"/>
    <w:rsid w:val="00907EB6"/>
    <w:rsid w:val="00911B0E"/>
    <w:rsid w:val="0091242C"/>
    <w:rsid w:val="009124AD"/>
    <w:rsid w:val="00913D5D"/>
    <w:rsid w:val="009144ED"/>
    <w:rsid w:val="00915141"/>
    <w:rsid w:val="00920A5C"/>
    <w:rsid w:val="009220C7"/>
    <w:rsid w:val="00923473"/>
    <w:rsid w:val="0092459B"/>
    <w:rsid w:val="00924B6D"/>
    <w:rsid w:val="009262A3"/>
    <w:rsid w:val="00926826"/>
    <w:rsid w:val="00931C28"/>
    <w:rsid w:val="00932B9F"/>
    <w:rsid w:val="0093443A"/>
    <w:rsid w:val="0093764C"/>
    <w:rsid w:val="0093770C"/>
    <w:rsid w:val="00937C04"/>
    <w:rsid w:val="009410A2"/>
    <w:rsid w:val="0094133A"/>
    <w:rsid w:val="00942859"/>
    <w:rsid w:val="00952BDD"/>
    <w:rsid w:val="00953274"/>
    <w:rsid w:val="009540B6"/>
    <w:rsid w:val="0095433E"/>
    <w:rsid w:val="00960664"/>
    <w:rsid w:val="00964466"/>
    <w:rsid w:val="00971CD2"/>
    <w:rsid w:val="00972081"/>
    <w:rsid w:val="009730BA"/>
    <w:rsid w:val="00974516"/>
    <w:rsid w:val="00980F95"/>
    <w:rsid w:val="0098180E"/>
    <w:rsid w:val="0098502F"/>
    <w:rsid w:val="00985188"/>
    <w:rsid w:val="00985C73"/>
    <w:rsid w:val="00990B80"/>
    <w:rsid w:val="00990C75"/>
    <w:rsid w:val="00994CE3"/>
    <w:rsid w:val="0099525B"/>
    <w:rsid w:val="009A0DAE"/>
    <w:rsid w:val="009A2C07"/>
    <w:rsid w:val="009A4A2F"/>
    <w:rsid w:val="009A7514"/>
    <w:rsid w:val="009B02B4"/>
    <w:rsid w:val="009B0378"/>
    <w:rsid w:val="009B13E0"/>
    <w:rsid w:val="009B4B3E"/>
    <w:rsid w:val="009C3C87"/>
    <w:rsid w:val="009C4118"/>
    <w:rsid w:val="009D034A"/>
    <w:rsid w:val="009D0A81"/>
    <w:rsid w:val="009D26CF"/>
    <w:rsid w:val="009D4072"/>
    <w:rsid w:val="009D5130"/>
    <w:rsid w:val="009D52D0"/>
    <w:rsid w:val="009E00A4"/>
    <w:rsid w:val="009E1316"/>
    <w:rsid w:val="009E1AE8"/>
    <w:rsid w:val="009E405B"/>
    <w:rsid w:val="009E5241"/>
    <w:rsid w:val="009E6881"/>
    <w:rsid w:val="009F05D7"/>
    <w:rsid w:val="009F3B09"/>
    <w:rsid w:val="009F4968"/>
    <w:rsid w:val="009F5DA7"/>
    <w:rsid w:val="009F6B35"/>
    <w:rsid w:val="009F718C"/>
    <w:rsid w:val="009F7367"/>
    <w:rsid w:val="009F7F83"/>
    <w:rsid w:val="00A0001B"/>
    <w:rsid w:val="00A00832"/>
    <w:rsid w:val="00A02454"/>
    <w:rsid w:val="00A03B6D"/>
    <w:rsid w:val="00A055C0"/>
    <w:rsid w:val="00A05924"/>
    <w:rsid w:val="00A10CA0"/>
    <w:rsid w:val="00A10FB0"/>
    <w:rsid w:val="00A113CC"/>
    <w:rsid w:val="00A12DDD"/>
    <w:rsid w:val="00A13667"/>
    <w:rsid w:val="00A164C1"/>
    <w:rsid w:val="00A1747B"/>
    <w:rsid w:val="00A206D6"/>
    <w:rsid w:val="00A25045"/>
    <w:rsid w:val="00A25CCF"/>
    <w:rsid w:val="00A26776"/>
    <w:rsid w:val="00A30DC2"/>
    <w:rsid w:val="00A3172E"/>
    <w:rsid w:val="00A31E7F"/>
    <w:rsid w:val="00A33759"/>
    <w:rsid w:val="00A37177"/>
    <w:rsid w:val="00A3735D"/>
    <w:rsid w:val="00A37CFC"/>
    <w:rsid w:val="00A40EFD"/>
    <w:rsid w:val="00A42F36"/>
    <w:rsid w:val="00A44919"/>
    <w:rsid w:val="00A45B00"/>
    <w:rsid w:val="00A46227"/>
    <w:rsid w:val="00A50A8C"/>
    <w:rsid w:val="00A54DAB"/>
    <w:rsid w:val="00A602B7"/>
    <w:rsid w:val="00A644D9"/>
    <w:rsid w:val="00A6793F"/>
    <w:rsid w:val="00A70DB3"/>
    <w:rsid w:val="00A72A71"/>
    <w:rsid w:val="00A74A0D"/>
    <w:rsid w:val="00A75725"/>
    <w:rsid w:val="00A802D7"/>
    <w:rsid w:val="00A8189F"/>
    <w:rsid w:val="00A828D1"/>
    <w:rsid w:val="00A86871"/>
    <w:rsid w:val="00A8708E"/>
    <w:rsid w:val="00A87E70"/>
    <w:rsid w:val="00A91AD2"/>
    <w:rsid w:val="00A929C8"/>
    <w:rsid w:val="00A97E06"/>
    <w:rsid w:val="00AA197F"/>
    <w:rsid w:val="00AA1AD1"/>
    <w:rsid w:val="00AA1F4F"/>
    <w:rsid w:val="00AA5595"/>
    <w:rsid w:val="00AA5D00"/>
    <w:rsid w:val="00AA64FF"/>
    <w:rsid w:val="00AA79CC"/>
    <w:rsid w:val="00AB70E2"/>
    <w:rsid w:val="00AC1E89"/>
    <w:rsid w:val="00AC51CA"/>
    <w:rsid w:val="00AC7402"/>
    <w:rsid w:val="00AC7F0E"/>
    <w:rsid w:val="00AD198A"/>
    <w:rsid w:val="00AD3F7E"/>
    <w:rsid w:val="00AD464C"/>
    <w:rsid w:val="00AD52A1"/>
    <w:rsid w:val="00AF2758"/>
    <w:rsid w:val="00AF6234"/>
    <w:rsid w:val="00AF6A8C"/>
    <w:rsid w:val="00B00B72"/>
    <w:rsid w:val="00B0125E"/>
    <w:rsid w:val="00B06F8B"/>
    <w:rsid w:val="00B10DC8"/>
    <w:rsid w:val="00B214BB"/>
    <w:rsid w:val="00B22FF2"/>
    <w:rsid w:val="00B2558D"/>
    <w:rsid w:val="00B260D1"/>
    <w:rsid w:val="00B324B4"/>
    <w:rsid w:val="00B35792"/>
    <w:rsid w:val="00B379B1"/>
    <w:rsid w:val="00B42F7B"/>
    <w:rsid w:val="00B460E1"/>
    <w:rsid w:val="00B479F3"/>
    <w:rsid w:val="00B5021F"/>
    <w:rsid w:val="00B522A3"/>
    <w:rsid w:val="00B555B4"/>
    <w:rsid w:val="00B561C7"/>
    <w:rsid w:val="00B60DC1"/>
    <w:rsid w:val="00B65D9F"/>
    <w:rsid w:val="00B662D2"/>
    <w:rsid w:val="00B66E8F"/>
    <w:rsid w:val="00B701E6"/>
    <w:rsid w:val="00B71B76"/>
    <w:rsid w:val="00B73B9C"/>
    <w:rsid w:val="00B75C8B"/>
    <w:rsid w:val="00B82246"/>
    <w:rsid w:val="00B8382B"/>
    <w:rsid w:val="00B84F88"/>
    <w:rsid w:val="00B854B7"/>
    <w:rsid w:val="00B91C50"/>
    <w:rsid w:val="00B9209D"/>
    <w:rsid w:val="00B93EB1"/>
    <w:rsid w:val="00B94E59"/>
    <w:rsid w:val="00B95961"/>
    <w:rsid w:val="00BA162F"/>
    <w:rsid w:val="00BA22CB"/>
    <w:rsid w:val="00BA304E"/>
    <w:rsid w:val="00BA4204"/>
    <w:rsid w:val="00BA7DE0"/>
    <w:rsid w:val="00BB2387"/>
    <w:rsid w:val="00BB262B"/>
    <w:rsid w:val="00BB33BA"/>
    <w:rsid w:val="00BB4938"/>
    <w:rsid w:val="00BC1B48"/>
    <w:rsid w:val="00BC42D7"/>
    <w:rsid w:val="00BD03C6"/>
    <w:rsid w:val="00BD156F"/>
    <w:rsid w:val="00BD1DED"/>
    <w:rsid w:val="00BD3586"/>
    <w:rsid w:val="00BD4B16"/>
    <w:rsid w:val="00BE026B"/>
    <w:rsid w:val="00BE2343"/>
    <w:rsid w:val="00BE3188"/>
    <w:rsid w:val="00BE6358"/>
    <w:rsid w:val="00BE6E98"/>
    <w:rsid w:val="00BF624E"/>
    <w:rsid w:val="00C012DB"/>
    <w:rsid w:val="00C01B3F"/>
    <w:rsid w:val="00C02EA6"/>
    <w:rsid w:val="00C03AD4"/>
    <w:rsid w:val="00C052F2"/>
    <w:rsid w:val="00C0642D"/>
    <w:rsid w:val="00C06EFF"/>
    <w:rsid w:val="00C07B7F"/>
    <w:rsid w:val="00C11C07"/>
    <w:rsid w:val="00C14420"/>
    <w:rsid w:val="00C15123"/>
    <w:rsid w:val="00C2732E"/>
    <w:rsid w:val="00C31A74"/>
    <w:rsid w:val="00C40A4C"/>
    <w:rsid w:val="00C46741"/>
    <w:rsid w:val="00C46798"/>
    <w:rsid w:val="00C47941"/>
    <w:rsid w:val="00C52645"/>
    <w:rsid w:val="00C52759"/>
    <w:rsid w:val="00C54DDE"/>
    <w:rsid w:val="00C57C60"/>
    <w:rsid w:val="00C60BAC"/>
    <w:rsid w:val="00C6353B"/>
    <w:rsid w:val="00C641C6"/>
    <w:rsid w:val="00C64A7F"/>
    <w:rsid w:val="00C67021"/>
    <w:rsid w:val="00C71A53"/>
    <w:rsid w:val="00C74E56"/>
    <w:rsid w:val="00C80804"/>
    <w:rsid w:val="00C82575"/>
    <w:rsid w:val="00C84503"/>
    <w:rsid w:val="00C867AC"/>
    <w:rsid w:val="00C9070F"/>
    <w:rsid w:val="00C92CAF"/>
    <w:rsid w:val="00C932C5"/>
    <w:rsid w:val="00C97E0B"/>
    <w:rsid w:val="00CA08A5"/>
    <w:rsid w:val="00CA0CD5"/>
    <w:rsid w:val="00CA195D"/>
    <w:rsid w:val="00CA2850"/>
    <w:rsid w:val="00CA48C0"/>
    <w:rsid w:val="00CA564A"/>
    <w:rsid w:val="00CA67FB"/>
    <w:rsid w:val="00CA74CD"/>
    <w:rsid w:val="00CB0BE1"/>
    <w:rsid w:val="00CB1600"/>
    <w:rsid w:val="00CB4D15"/>
    <w:rsid w:val="00CB6AFA"/>
    <w:rsid w:val="00CC1E48"/>
    <w:rsid w:val="00CC47F7"/>
    <w:rsid w:val="00CC6183"/>
    <w:rsid w:val="00CD1170"/>
    <w:rsid w:val="00CD508A"/>
    <w:rsid w:val="00CD7055"/>
    <w:rsid w:val="00CD73E7"/>
    <w:rsid w:val="00CE3E5A"/>
    <w:rsid w:val="00CE4157"/>
    <w:rsid w:val="00CE504B"/>
    <w:rsid w:val="00CE7361"/>
    <w:rsid w:val="00CF09F9"/>
    <w:rsid w:val="00CF0D27"/>
    <w:rsid w:val="00CF2736"/>
    <w:rsid w:val="00CF3504"/>
    <w:rsid w:val="00CF766D"/>
    <w:rsid w:val="00D01D53"/>
    <w:rsid w:val="00D02440"/>
    <w:rsid w:val="00D05D8C"/>
    <w:rsid w:val="00D0611B"/>
    <w:rsid w:val="00D06C9D"/>
    <w:rsid w:val="00D13177"/>
    <w:rsid w:val="00D15B9C"/>
    <w:rsid w:val="00D15EC9"/>
    <w:rsid w:val="00D16C09"/>
    <w:rsid w:val="00D17251"/>
    <w:rsid w:val="00D2125C"/>
    <w:rsid w:val="00D222A7"/>
    <w:rsid w:val="00D26603"/>
    <w:rsid w:val="00D274F2"/>
    <w:rsid w:val="00D303F0"/>
    <w:rsid w:val="00D305B8"/>
    <w:rsid w:val="00D32750"/>
    <w:rsid w:val="00D33F9C"/>
    <w:rsid w:val="00D35ADA"/>
    <w:rsid w:val="00D4311D"/>
    <w:rsid w:val="00D43DC0"/>
    <w:rsid w:val="00D47645"/>
    <w:rsid w:val="00D50FB5"/>
    <w:rsid w:val="00D62D29"/>
    <w:rsid w:val="00D641BE"/>
    <w:rsid w:val="00D64F44"/>
    <w:rsid w:val="00D665E7"/>
    <w:rsid w:val="00D67F9A"/>
    <w:rsid w:val="00D72572"/>
    <w:rsid w:val="00D72ADC"/>
    <w:rsid w:val="00D80B8D"/>
    <w:rsid w:val="00D82BFC"/>
    <w:rsid w:val="00D837F6"/>
    <w:rsid w:val="00D84794"/>
    <w:rsid w:val="00D84ED5"/>
    <w:rsid w:val="00D874FD"/>
    <w:rsid w:val="00D87C3A"/>
    <w:rsid w:val="00D92112"/>
    <w:rsid w:val="00D9235E"/>
    <w:rsid w:val="00D925B3"/>
    <w:rsid w:val="00D96CCD"/>
    <w:rsid w:val="00DA0303"/>
    <w:rsid w:val="00DA0D4B"/>
    <w:rsid w:val="00DA5025"/>
    <w:rsid w:val="00DA5C90"/>
    <w:rsid w:val="00DA5F3F"/>
    <w:rsid w:val="00DB07AD"/>
    <w:rsid w:val="00DB62FC"/>
    <w:rsid w:val="00DB6658"/>
    <w:rsid w:val="00DB6D37"/>
    <w:rsid w:val="00DB6EC1"/>
    <w:rsid w:val="00DC3282"/>
    <w:rsid w:val="00DD2092"/>
    <w:rsid w:val="00DD4B79"/>
    <w:rsid w:val="00DE134E"/>
    <w:rsid w:val="00DE707F"/>
    <w:rsid w:val="00DE7E5D"/>
    <w:rsid w:val="00DF5F73"/>
    <w:rsid w:val="00DF7220"/>
    <w:rsid w:val="00DF7E34"/>
    <w:rsid w:val="00E011BC"/>
    <w:rsid w:val="00E01EA4"/>
    <w:rsid w:val="00E01F88"/>
    <w:rsid w:val="00E03E56"/>
    <w:rsid w:val="00E07579"/>
    <w:rsid w:val="00E10BEB"/>
    <w:rsid w:val="00E159D2"/>
    <w:rsid w:val="00E2118A"/>
    <w:rsid w:val="00E243BB"/>
    <w:rsid w:val="00E252C6"/>
    <w:rsid w:val="00E25F3B"/>
    <w:rsid w:val="00E27DDE"/>
    <w:rsid w:val="00E31C15"/>
    <w:rsid w:val="00E37A0E"/>
    <w:rsid w:val="00E40118"/>
    <w:rsid w:val="00E41621"/>
    <w:rsid w:val="00E431D5"/>
    <w:rsid w:val="00E43D15"/>
    <w:rsid w:val="00E44569"/>
    <w:rsid w:val="00E46A56"/>
    <w:rsid w:val="00E47726"/>
    <w:rsid w:val="00E509BF"/>
    <w:rsid w:val="00E5626F"/>
    <w:rsid w:val="00E563DB"/>
    <w:rsid w:val="00E56FBF"/>
    <w:rsid w:val="00E62B8C"/>
    <w:rsid w:val="00E62F08"/>
    <w:rsid w:val="00E632CE"/>
    <w:rsid w:val="00E6487A"/>
    <w:rsid w:val="00E65891"/>
    <w:rsid w:val="00E66C65"/>
    <w:rsid w:val="00E713CA"/>
    <w:rsid w:val="00E72D71"/>
    <w:rsid w:val="00E72F6B"/>
    <w:rsid w:val="00E73D5D"/>
    <w:rsid w:val="00E74602"/>
    <w:rsid w:val="00E7614A"/>
    <w:rsid w:val="00E80626"/>
    <w:rsid w:val="00E80CF9"/>
    <w:rsid w:val="00E82761"/>
    <w:rsid w:val="00E82999"/>
    <w:rsid w:val="00E83528"/>
    <w:rsid w:val="00E84ACC"/>
    <w:rsid w:val="00E84E06"/>
    <w:rsid w:val="00E85546"/>
    <w:rsid w:val="00E85AB3"/>
    <w:rsid w:val="00E87BB9"/>
    <w:rsid w:val="00E919E8"/>
    <w:rsid w:val="00E93AFC"/>
    <w:rsid w:val="00E9564D"/>
    <w:rsid w:val="00E975A1"/>
    <w:rsid w:val="00E9786B"/>
    <w:rsid w:val="00EA6823"/>
    <w:rsid w:val="00EA7508"/>
    <w:rsid w:val="00EA77E8"/>
    <w:rsid w:val="00EB0C85"/>
    <w:rsid w:val="00EB210A"/>
    <w:rsid w:val="00EB266D"/>
    <w:rsid w:val="00EB320B"/>
    <w:rsid w:val="00EB519F"/>
    <w:rsid w:val="00EB6C98"/>
    <w:rsid w:val="00ED0EC5"/>
    <w:rsid w:val="00ED59B2"/>
    <w:rsid w:val="00EE09C0"/>
    <w:rsid w:val="00EE2CAE"/>
    <w:rsid w:val="00EE3185"/>
    <w:rsid w:val="00EE4032"/>
    <w:rsid w:val="00EE4132"/>
    <w:rsid w:val="00EE68F6"/>
    <w:rsid w:val="00EE7FB6"/>
    <w:rsid w:val="00EF27A5"/>
    <w:rsid w:val="00EF7B8E"/>
    <w:rsid w:val="00F01BF0"/>
    <w:rsid w:val="00F03293"/>
    <w:rsid w:val="00F03485"/>
    <w:rsid w:val="00F03E0A"/>
    <w:rsid w:val="00F061B5"/>
    <w:rsid w:val="00F101F5"/>
    <w:rsid w:val="00F11C7C"/>
    <w:rsid w:val="00F131CB"/>
    <w:rsid w:val="00F13CEF"/>
    <w:rsid w:val="00F16831"/>
    <w:rsid w:val="00F2340D"/>
    <w:rsid w:val="00F23B79"/>
    <w:rsid w:val="00F2446E"/>
    <w:rsid w:val="00F2487A"/>
    <w:rsid w:val="00F323DC"/>
    <w:rsid w:val="00F327D7"/>
    <w:rsid w:val="00F346F3"/>
    <w:rsid w:val="00F44D56"/>
    <w:rsid w:val="00F457F2"/>
    <w:rsid w:val="00F46785"/>
    <w:rsid w:val="00F516C1"/>
    <w:rsid w:val="00F54DFE"/>
    <w:rsid w:val="00F56143"/>
    <w:rsid w:val="00F64DAD"/>
    <w:rsid w:val="00F6541B"/>
    <w:rsid w:val="00F67F5B"/>
    <w:rsid w:val="00F73648"/>
    <w:rsid w:val="00F805DB"/>
    <w:rsid w:val="00F80F68"/>
    <w:rsid w:val="00F82C0C"/>
    <w:rsid w:val="00F84BBC"/>
    <w:rsid w:val="00F8505D"/>
    <w:rsid w:val="00F8642C"/>
    <w:rsid w:val="00FA01F6"/>
    <w:rsid w:val="00FA0BE3"/>
    <w:rsid w:val="00FA2153"/>
    <w:rsid w:val="00FA5823"/>
    <w:rsid w:val="00FB27C6"/>
    <w:rsid w:val="00FB3089"/>
    <w:rsid w:val="00FB362F"/>
    <w:rsid w:val="00FB3B53"/>
    <w:rsid w:val="00FC731F"/>
    <w:rsid w:val="00FC7B3A"/>
    <w:rsid w:val="00FD18FB"/>
    <w:rsid w:val="00FD1A65"/>
    <w:rsid w:val="00FD1D7B"/>
    <w:rsid w:val="00FD4035"/>
    <w:rsid w:val="00FF2623"/>
    <w:rsid w:val="00FF30A8"/>
    <w:rsid w:val="00FF31DE"/>
    <w:rsid w:val="00FF6F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303"/>
    <w:pPr>
      <w:spacing w:after="0" w:line="240" w:lineRule="auto"/>
      <w:jc w:val="both"/>
    </w:pPr>
    <w:rPr>
      <w:rFonts w:eastAsia="Calibri" w:cs="Times New Roman"/>
      <w:szCs w:val="24"/>
      <w:lang w:eastAsia="fr-FR"/>
    </w:rPr>
  </w:style>
  <w:style w:type="paragraph" w:styleId="Titre1">
    <w:name w:val="heading 1"/>
    <w:basedOn w:val="Normal"/>
    <w:link w:val="Titre1Car"/>
    <w:uiPriority w:val="1"/>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iPriority w:val="1"/>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qFormat/>
    <w:rsid w:val="00E82999"/>
    <w:rPr>
      <w:rFonts w:ascii="Optima" w:eastAsia="Times New Roman" w:hAnsi="Optima"/>
    </w:rPr>
  </w:style>
  <w:style w:type="character" w:customStyle="1" w:styleId="CorpsdetexteCar">
    <w:name w:val="Corps de texte Car"/>
    <w:basedOn w:val="Policepardfaut"/>
    <w:link w:val="Corpsdetexte"/>
    <w:rsid w:val="00E82999"/>
    <w:rPr>
      <w:rFonts w:ascii="Optima" w:eastAsia="Times New Roman" w:hAnsi="Optima" w:cs="Times New Roman"/>
      <w:szCs w:val="24"/>
      <w:lang w:eastAsia="fr-FR"/>
    </w:rPr>
  </w:style>
  <w:style w:type="paragraph" w:styleId="En-tte">
    <w:name w:val="header"/>
    <w:basedOn w:val="Normal"/>
    <w:link w:val="En-tteCar"/>
    <w:unhideWhenUsed/>
    <w:rsid w:val="00EB0C85"/>
    <w:pPr>
      <w:tabs>
        <w:tab w:val="center" w:pos="4536"/>
        <w:tab w:val="right" w:pos="9072"/>
      </w:tabs>
    </w:pPr>
  </w:style>
  <w:style w:type="character" w:customStyle="1" w:styleId="En-tteCar">
    <w:name w:val="En-tête Car"/>
    <w:basedOn w:val="Policepardfaut"/>
    <w:link w:val="En-tte"/>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uiPriority w:val="1"/>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uiPriority w:val="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rsid w:val="00672AC9"/>
    <w:rPr>
      <w:rFonts w:ascii="Cambria" w:eastAsia="Times New Roman" w:hAnsi="Cambria" w:cs="Times New Roman"/>
      <w:sz w:val="24"/>
      <w:szCs w:val="24"/>
      <w:lang w:val="x-none" w:eastAsia="x-none"/>
    </w:rPr>
  </w:style>
  <w:style w:type="paragraph" w:styleId="Lgende">
    <w:name w:val="caption"/>
    <w:basedOn w:val="Normal"/>
    <w:next w:val="Normal"/>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0">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qFormat/>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table" w:styleId="Listeclaire-Accent1">
    <w:name w:val="Light List Accent 1"/>
    <w:basedOn w:val="TableauNormal"/>
    <w:uiPriority w:val="61"/>
    <w:rsid w:val="00815A56"/>
    <w:pPr>
      <w:spacing w:after="0" w:line="240" w:lineRule="auto"/>
    </w:pPr>
    <w:tblPr>
      <w:tblStyleRowBandSize w:val="1"/>
      <w:tblStyleColBandSize w:val="1"/>
      <w:tblInd w:w="0" w:type="nil"/>
      <w:tblBorders>
        <w:top w:val="single" w:sz="8" w:space="0" w:color="DF551A" w:themeColor="accent1"/>
        <w:left w:val="single" w:sz="8" w:space="0" w:color="DF551A" w:themeColor="accent1"/>
        <w:bottom w:val="single" w:sz="8" w:space="0" w:color="DF551A" w:themeColor="accent1"/>
        <w:right w:val="single" w:sz="8" w:space="0" w:color="DF551A"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DF551A" w:themeFill="accent1"/>
      </w:tcPr>
    </w:tblStylePr>
    <w:tblStylePr w:type="lastRow">
      <w:pPr>
        <w:spacing w:beforeLines="0" w:before="0" w:beforeAutospacing="0" w:afterLines="0" w:after="0" w:afterAutospacing="0" w:line="240" w:lineRule="auto"/>
      </w:pPr>
      <w:rPr>
        <w:b/>
        <w:bCs/>
      </w:rPr>
      <w:tblPr/>
      <w:tcPr>
        <w:tcBorders>
          <w:top w:val="double" w:sz="6" w:space="0" w:color="DF551A" w:themeColor="accent1"/>
          <w:left w:val="single" w:sz="8" w:space="0" w:color="DF551A" w:themeColor="accent1"/>
          <w:bottom w:val="single" w:sz="8" w:space="0" w:color="DF551A" w:themeColor="accent1"/>
          <w:right w:val="single" w:sz="8" w:space="0" w:color="DF551A" w:themeColor="accent1"/>
        </w:tcBorders>
      </w:tcPr>
    </w:tblStylePr>
    <w:tblStylePr w:type="firstCol">
      <w:rPr>
        <w:b/>
        <w:bCs/>
      </w:rPr>
    </w:tblStylePr>
    <w:tblStylePr w:type="lastCol">
      <w:rPr>
        <w:b/>
        <w:bCs/>
      </w:rPr>
    </w:tblStylePr>
    <w:tblStylePr w:type="band1Vert">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tblStylePr w:type="band1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style>
  <w:style w:type="table" w:customStyle="1" w:styleId="GridTable4Accent3">
    <w:name w:val="Grid Table 4 Accent 3"/>
    <w:basedOn w:val="TableauNormal"/>
    <w:uiPriority w:val="49"/>
    <w:rsid w:val="00526B4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DE678" w:themeColor="accent3" w:themeTint="99"/>
        <w:left w:val="single" w:sz="4" w:space="0" w:color="DDE678" w:themeColor="accent3" w:themeTint="99"/>
        <w:bottom w:val="single" w:sz="4" w:space="0" w:color="DDE678" w:themeColor="accent3" w:themeTint="99"/>
        <w:right w:val="single" w:sz="4" w:space="0" w:color="DDE678" w:themeColor="accent3" w:themeTint="99"/>
        <w:insideH w:val="single" w:sz="4" w:space="0" w:color="DDE678" w:themeColor="accent3" w:themeTint="99"/>
        <w:insideV w:val="single" w:sz="4" w:space="0" w:color="DDE678" w:themeColor="accent3" w:themeTint="99"/>
      </w:tblBorders>
    </w:tblPr>
    <w:tblStylePr w:type="firstRow">
      <w:rPr>
        <w:b/>
        <w:bCs/>
        <w:color w:val="FFFFFF" w:themeColor="background1"/>
      </w:rPr>
      <w:tblPr/>
      <w:tcPr>
        <w:tcBorders>
          <w:top w:val="single" w:sz="4" w:space="0" w:color="C2D026" w:themeColor="accent3"/>
          <w:left w:val="single" w:sz="4" w:space="0" w:color="C2D026" w:themeColor="accent3"/>
          <w:bottom w:val="single" w:sz="4" w:space="0" w:color="C2D026" w:themeColor="accent3"/>
          <w:right w:val="single" w:sz="4" w:space="0" w:color="C2D026" w:themeColor="accent3"/>
          <w:insideH w:val="nil"/>
          <w:insideV w:val="nil"/>
        </w:tcBorders>
        <w:shd w:val="clear" w:color="auto" w:fill="C2D026" w:themeFill="accent3"/>
      </w:tcPr>
    </w:tblStylePr>
    <w:tblStylePr w:type="lastRow">
      <w:rPr>
        <w:b/>
        <w:bCs/>
      </w:rPr>
      <w:tblPr/>
      <w:tcPr>
        <w:tcBorders>
          <w:top w:val="double" w:sz="4" w:space="0" w:color="C2D026" w:themeColor="accent3"/>
        </w:tcBorders>
      </w:tcPr>
    </w:tblStylePr>
    <w:tblStylePr w:type="firstCol">
      <w:rPr>
        <w:b/>
        <w:bCs/>
      </w:rPr>
    </w:tblStylePr>
    <w:tblStylePr w:type="lastCol">
      <w:rPr>
        <w:b/>
        <w:bCs/>
      </w:rPr>
    </w:tblStylePr>
    <w:tblStylePr w:type="band1Vert">
      <w:tblPr/>
      <w:tcPr>
        <w:shd w:val="clear" w:color="auto" w:fill="F3F6D2" w:themeFill="accent3" w:themeFillTint="33"/>
      </w:tcPr>
    </w:tblStylePr>
    <w:tblStylePr w:type="band1Horz">
      <w:tblPr/>
      <w:tcPr>
        <w:shd w:val="clear" w:color="auto" w:fill="F3F6D2" w:themeFill="accent3" w:themeFillTint="33"/>
      </w:tcPr>
    </w:tblStylePr>
  </w:style>
  <w:style w:type="paragraph" w:customStyle="1" w:styleId="AOPPARAGRAPHE">
    <w:name w:val="AOP PARAGRAPHE"/>
    <w:basedOn w:val="Corpsdetexte3"/>
    <w:link w:val="AOPPARAGRAPHECar"/>
    <w:autoRedefine/>
    <w:qFormat/>
    <w:rsid w:val="00526B42"/>
    <w:pPr>
      <w:tabs>
        <w:tab w:val="left" w:pos="-1843"/>
        <w:tab w:val="left" w:pos="0"/>
        <w:tab w:val="left" w:pos="284"/>
      </w:tabs>
      <w:spacing w:before="180" w:after="0" w:line="280" w:lineRule="atLeast"/>
    </w:pPr>
    <w:rPr>
      <w:rFonts w:eastAsia="Calibri"/>
    </w:rPr>
  </w:style>
  <w:style w:type="character" w:customStyle="1" w:styleId="AOPPARAGRAPHECar">
    <w:name w:val="AOP PARAGRAPHE Car"/>
    <w:basedOn w:val="Corpsdetexte3Car"/>
    <w:link w:val="AOPPARAGRAPHE"/>
    <w:rsid w:val="00526B42"/>
    <w:rPr>
      <w:rFonts w:ascii="Calibri" w:eastAsia="Calibri" w:hAnsi="Calibri" w:cs="Times New Roman"/>
      <w:sz w:val="16"/>
      <w:szCs w:val="16"/>
      <w:lang w:eastAsia="fr-FR"/>
    </w:rPr>
  </w:style>
  <w:style w:type="paragraph" w:customStyle="1" w:styleId="Style2">
    <w:name w:val="Style2"/>
    <w:basedOn w:val="Normal"/>
    <w:autoRedefine/>
    <w:qFormat/>
    <w:rsid w:val="00526B42"/>
    <w:pPr>
      <w:numPr>
        <w:numId w:val="11"/>
      </w:numPr>
      <w:spacing w:before="80" w:line="280" w:lineRule="exact"/>
    </w:pPr>
    <w:rPr>
      <w:rFonts w:eastAsia="Times New Roman" w:cstheme="minorHAnsi"/>
      <w:szCs w:val="20"/>
    </w:rPr>
  </w:style>
  <w:style w:type="table" w:styleId="Grilleclaire-Accent1">
    <w:name w:val="Light Grid Accent 1"/>
    <w:basedOn w:val="TableauNormal"/>
    <w:uiPriority w:val="62"/>
    <w:rsid w:val="00E31C15"/>
    <w:pPr>
      <w:spacing w:after="0" w:line="240" w:lineRule="auto"/>
    </w:pPr>
    <w:tblPr>
      <w:tblStyleRowBandSize w:val="1"/>
      <w:tblStyleColBandSize w:val="1"/>
      <w:tblBorders>
        <w:top w:val="single" w:sz="8" w:space="0" w:color="DF551A" w:themeColor="accent1"/>
        <w:left w:val="single" w:sz="8" w:space="0" w:color="DF551A" w:themeColor="accent1"/>
        <w:bottom w:val="single" w:sz="8" w:space="0" w:color="DF551A" w:themeColor="accent1"/>
        <w:right w:val="single" w:sz="8" w:space="0" w:color="DF551A" w:themeColor="accent1"/>
        <w:insideH w:val="single" w:sz="8" w:space="0" w:color="DF551A" w:themeColor="accent1"/>
        <w:insideV w:val="single" w:sz="8" w:space="0" w:color="DF551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51A" w:themeColor="accent1"/>
          <w:left w:val="single" w:sz="8" w:space="0" w:color="DF551A" w:themeColor="accent1"/>
          <w:bottom w:val="single" w:sz="18" w:space="0" w:color="DF551A" w:themeColor="accent1"/>
          <w:right w:val="single" w:sz="8" w:space="0" w:color="DF551A" w:themeColor="accent1"/>
          <w:insideH w:val="nil"/>
          <w:insideV w:val="single" w:sz="8" w:space="0" w:color="DF551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51A" w:themeColor="accent1"/>
          <w:left w:val="single" w:sz="8" w:space="0" w:color="DF551A" w:themeColor="accent1"/>
          <w:bottom w:val="single" w:sz="8" w:space="0" w:color="DF551A" w:themeColor="accent1"/>
          <w:right w:val="single" w:sz="8" w:space="0" w:color="DF551A" w:themeColor="accent1"/>
          <w:insideH w:val="nil"/>
          <w:insideV w:val="single" w:sz="8" w:space="0" w:color="DF551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tblStylePr w:type="band1Vert">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shd w:val="clear" w:color="auto" w:fill="F8D4C5" w:themeFill="accent1" w:themeFillTint="3F"/>
      </w:tcPr>
    </w:tblStylePr>
    <w:tblStylePr w:type="band1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insideV w:val="single" w:sz="8" w:space="0" w:color="DF551A" w:themeColor="accent1"/>
        </w:tcBorders>
        <w:shd w:val="clear" w:color="auto" w:fill="F8D4C5" w:themeFill="accent1" w:themeFillTint="3F"/>
      </w:tcPr>
    </w:tblStylePr>
    <w:tblStylePr w:type="band2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insideV w:val="single" w:sz="8" w:space="0" w:color="DF551A" w:themeColor="accent1"/>
        </w:tcBorders>
      </w:tcPr>
    </w:tblStylePr>
  </w:style>
  <w:style w:type="paragraph" w:customStyle="1" w:styleId="Default">
    <w:name w:val="Default"/>
    <w:rsid w:val="00AD3F7E"/>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0303"/>
    <w:pPr>
      <w:spacing w:after="0" w:line="240" w:lineRule="auto"/>
      <w:jc w:val="both"/>
    </w:pPr>
    <w:rPr>
      <w:rFonts w:eastAsia="Calibri" w:cs="Times New Roman"/>
      <w:szCs w:val="24"/>
      <w:lang w:eastAsia="fr-FR"/>
    </w:rPr>
  </w:style>
  <w:style w:type="paragraph" w:styleId="Titre1">
    <w:name w:val="heading 1"/>
    <w:basedOn w:val="Normal"/>
    <w:link w:val="Titre1Car"/>
    <w:uiPriority w:val="1"/>
    <w:qFormat/>
    <w:rsid w:val="00DF7220"/>
    <w:pPr>
      <w:widowControl w:val="0"/>
      <w:spacing w:before="60"/>
      <w:ind w:left="112"/>
      <w:jc w:val="left"/>
      <w:outlineLvl w:val="0"/>
    </w:pPr>
    <w:rPr>
      <w:rFonts w:ascii="Trebuchet MS" w:eastAsia="Trebuchet MS" w:hAnsi="Trebuchet MS" w:cstheme="minorBidi"/>
      <w:b/>
      <w:bCs/>
      <w:sz w:val="24"/>
      <w:u w:val="single"/>
      <w:lang w:val="en-US" w:eastAsia="en-US"/>
    </w:rPr>
  </w:style>
  <w:style w:type="paragraph" w:styleId="Titre2">
    <w:name w:val="heading 2"/>
    <w:basedOn w:val="Normal"/>
    <w:next w:val="Normal"/>
    <w:link w:val="Titre2Car"/>
    <w:uiPriority w:val="1"/>
    <w:unhideWhenUsed/>
    <w:qFormat/>
    <w:rsid w:val="008C7669"/>
    <w:pPr>
      <w:keepNext/>
      <w:keepLines/>
      <w:spacing w:before="200"/>
      <w:outlineLvl w:val="1"/>
    </w:pPr>
    <w:rPr>
      <w:rFonts w:asciiTheme="majorHAnsi" w:eastAsiaTheme="majorEastAsia" w:hAnsiTheme="majorHAnsi" w:cstheme="majorBidi"/>
      <w:b/>
      <w:bCs/>
      <w:color w:val="DF551A" w:themeColor="accent1"/>
      <w:sz w:val="26"/>
      <w:szCs w:val="26"/>
    </w:rPr>
  </w:style>
  <w:style w:type="paragraph" w:styleId="Titre3">
    <w:name w:val="heading 3"/>
    <w:basedOn w:val="Normal"/>
    <w:link w:val="Titre3Car"/>
    <w:qFormat/>
    <w:rsid w:val="00DF7220"/>
    <w:pPr>
      <w:widowControl w:val="0"/>
      <w:ind w:left="3133"/>
      <w:jc w:val="left"/>
      <w:outlineLvl w:val="2"/>
    </w:pPr>
    <w:rPr>
      <w:rFonts w:ascii="Trebuchet MS" w:eastAsia="Trebuchet MS" w:hAnsi="Trebuchet MS" w:cstheme="minorBidi"/>
      <w:sz w:val="24"/>
      <w:lang w:val="en-US" w:eastAsia="en-US"/>
    </w:rPr>
  </w:style>
  <w:style w:type="paragraph" w:styleId="Titre4">
    <w:name w:val="heading 4"/>
    <w:basedOn w:val="Normal"/>
    <w:next w:val="Normal"/>
    <w:link w:val="Titre4Car"/>
    <w:unhideWhenUsed/>
    <w:qFormat/>
    <w:rsid w:val="002F435C"/>
    <w:pPr>
      <w:keepNext/>
      <w:spacing w:before="240" w:after="60" w:line="264" w:lineRule="auto"/>
      <w:outlineLvl w:val="3"/>
    </w:pPr>
    <w:rPr>
      <w:rFonts w:ascii="Calibri" w:eastAsia="Times New Roman" w:hAnsi="Calibri"/>
      <w:b/>
      <w:bCs/>
      <w:sz w:val="28"/>
      <w:szCs w:val="28"/>
      <w:lang w:val="x-none" w:eastAsia="x-none"/>
    </w:rPr>
  </w:style>
  <w:style w:type="paragraph" w:styleId="Titre5">
    <w:name w:val="heading 5"/>
    <w:basedOn w:val="Normal"/>
    <w:link w:val="Titre5Car"/>
    <w:qFormat/>
    <w:rsid w:val="00DF7220"/>
    <w:pPr>
      <w:widowControl w:val="0"/>
      <w:ind w:left="112"/>
      <w:jc w:val="left"/>
      <w:outlineLvl w:val="4"/>
    </w:pPr>
    <w:rPr>
      <w:rFonts w:ascii="Trebuchet MS" w:eastAsia="Trebuchet MS" w:hAnsi="Trebuchet MS" w:cstheme="minorBidi"/>
      <w:b/>
      <w:bCs/>
      <w:sz w:val="20"/>
      <w:szCs w:val="20"/>
      <w:lang w:val="en-US" w:eastAsia="en-US"/>
    </w:rPr>
  </w:style>
  <w:style w:type="paragraph" w:styleId="Titre6">
    <w:name w:val="heading 6"/>
    <w:basedOn w:val="Normal"/>
    <w:link w:val="Titre6Car"/>
    <w:qFormat/>
    <w:rsid w:val="00DF7220"/>
    <w:pPr>
      <w:widowControl w:val="0"/>
      <w:ind w:left="212"/>
      <w:jc w:val="left"/>
      <w:outlineLvl w:val="5"/>
    </w:pPr>
    <w:rPr>
      <w:rFonts w:ascii="Trebuchet MS" w:eastAsia="Trebuchet MS" w:hAnsi="Trebuchet MS" w:cstheme="minorBidi"/>
      <w:b/>
      <w:bCs/>
      <w:i/>
      <w:sz w:val="20"/>
      <w:szCs w:val="20"/>
      <w:lang w:val="en-US" w:eastAsia="en-US"/>
    </w:rPr>
  </w:style>
  <w:style w:type="paragraph" w:styleId="Titre7">
    <w:name w:val="heading 7"/>
    <w:basedOn w:val="Normal"/>
    <w:next w:val="Normal"/>
    <w:link w:val="Titre7Car"/>
    <w:qFormat/>
    <w:rsid w:val="00672AC9"/>
    <w:pPr>
      <w:keepNext/>
      <w:spacing w:line="264" w:lineRule="auto"/>
      <w:jc w:val="center"/>
      <w:outlineLvl w:val="6"/>
    </w:pPr>
    <w:rPr>
      <w:rFonts w:ascii="Comic Sans MS" w:eastAsia="Times New Roman" w:hAnsi="Comic Sans MS"/>
      <w:b/>
      <w:szCs w:val="20"/>
      <w:lang w:val="x-none" w:eastAsia="x-none"/>
    </w:rPr>
  </w:style>
  <w:style w:type="paragraph" w:styleId="Titre8">
    <w:name w:val="heading 8"/>
    <w:basedOn w:val="Normal"/>
    <w:next w:val="Normal"/>
    <w:link w:val="Titre8Car"/>
    <w:semiHidden/>
    <w:unhideWhenUsed/>
    <w:qFormat/>
    <w:rsid w:val="00CF35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itre9">
    <w:name w:val="heading 9"/>
    <w:basedOn w:val="Normal"/>
    <w:next w:val="Normal"/>
    <w:link w:val="Titre9Car"/>
    <w:semiHidden/>
    <w:unhideWhenUsed/>
    <w:qFormat/>
    <w:rsid w:val="00672AC9"/>
    <w:pPr>
      <w:spacing w:before="240" w:after="60" w:line="264" w:lineRule="auto"/>
      <w:outlineLvl w:val="8"/>
    </w:pPr>
    <w:rPr>
      <w:rFonts w:ascii="Cambria" w:eastAsia="Times New Roman" w:hAnsi="Cambria"/>
      <w:szCs w:val="22"/>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2F435C"/>
    <w:rPr>
      <w:rFonts w:ascii="Calibri" w:eastAsia="Times New Roman" w:hAnsi="Calibri" w:cs="Times New Roman"/>
      <w:b/>
      <w:bCs/>
      <w:sz w:val="28"/>
      <w:szCs w:val="28"/>
      <w:lang w:val="x-none" w:eastAsia="x-none"/>
    </w:rPr>
  </w:style>
  <w:style w:type="table" w:styleId="Grilledutableau">
    <w:name w:val="Table Grid"/>
    <w:basedOn w:val="TableauNormal"/>
    <w:rsid w:val="002F435C"/>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2F435C"/>
    <w:pPr>
      <w:tabs>
        <w:tab w:val="center" w:pos="4536"/>
        <w:tab w:val="right" w:pos="9072"/>
      </w:tabs>
      <w:spacing w:line="264" w:lineRule="auto"/>
    </w:pPr>
    <w:rPr>
      <w:rFonts w:eastAsia="Times New Roman"/>
      <w:lang w:val="x-none" w:eastAsia="x-none"/>
    </w:rPr>
  </w:style>
  <w:style w:type="character" w:customStyle="1" w:styleId="PieddepageCar">
    <w:name w:val="Pied de page Car"/>
    <w:basedOn w:val="Policepardfaut"/>
    <w:link w:val="Pieddepage"/>
    <w:uiPriority w:val="99"/>
    <w:rsid w:val="002F435C"/>
    <w:rPr>
      <w:rFonts w:eastAsia="Times New Roman" w:cs="Times New Roman"/>
      <w:szCs w:val="24"/>
      <w:lang w:val="x-none" w:eastAsia="x-none"/>
    </w:rPr>
  </w:style>
  <w:style w:type="character" w:styleId="Lienhypertexte">
    <w:name w:val="Hyperlink"/>
    <w:uiPriority w:val="99"/>
    <w:unhideWhenUsed/>
    <w:rsid w:val="002F435C"/>
    <w:rPr>
      <w:color w:val="0000FF"/>
      <w:u w:val="single"/>
    </w:rPr>
  </w:style>
  <w:style w:type="paragraph" w:customStyle="1" w:styleId="Puceorange">
    <w:name w:val="Puce orange"/>
    <w:basedOn w:val="Citation"/>
    <w:link w:val="PuceorangeCar"/>
    <w:qFormat/>
    <w:rsid w:val="0013710C"/>
    <w:pPr>
      <w:numPr>
        <w:numId w:val="1"/>
      </w:numPr>
      <w:spacing w:line="264" w:lineRule="auto"/>
    </w:pPr>
    <w:rPr>
      <w:rFonts w:eastAsia="Times New Roman"/>
      <w:i w:val="0"/>
      <w:color w:val="000000"/>
      <w:lang w:val="x-none" w:eastAsia="x-none"/>
    </w:rPr>
  </w:style>
  <w:style w:type="character" w:customStyle="1" w:styleId="PuceorangeCar">
    <w:name w:val="Puce orange Car"/>
    <w:link w:val="Puceorange"/>
    <w:rsid w:val="0013710C"/>
    <w:rPr>
      <w:rFonts w:eastAsia="Times New Roman" w:cs="Times New Roman"/>
      <w:iCs/>
      <w:color w:val="000000"/>
      <w:szCs w:val="24"/>
      <w:lang w:val="x-none" w:eastAsia="x-none"/>
    </w:rPr>
  </w:style>
  <w:style w:type="paragraph" w:styleId="Paragraphedeliste">
    <w:name w:val="List Paragraph"/>
    <w:basedOn w:val="Normal"/>
    <w:link w:val="ParagraphedelisteCar"/>
    <w:uiPriority w:val="34"/>
    <w:qFormat/>
    <w:rsid w:val="002F435C"/>
    <w:pPr>
      <w:spacing w:line="264" w:lineRule="auto"/>
      <w:ind w:left="720"/>
      <w:contextualSpacing/>
    </w:pPr>
    <w:rPr>
      <w:rFonts w:eastAsia="Times New Roman"/>
    </w:rPr>
  </w:style>
  <w:style w:type="paragraph" w:customStyle="1" w:styleId="Titrepoint">
    <w:name w:val="Titre point"/>
    <w:basedOn w:val="Normal"/>
    <w:link w:val="TitrepointCar"/>
    <w:qFormat/>
    <w:rsid w:val="006A63E9"/>
    <w:pPr>
      <w:numPr>
        <w:numId w:val="2"/>
      </w:numPr>
      <w:pBdr>
        <w:bottom w:val="single" w:sz="8" w:space="1" w:color="DF551A" w:themeColor="accent1"/>
      </w:pBdr>
      <w:spacing w:before="120" w:line="264" w:lineRule="auto"/>
    </w:pPr>
    <w:rPr>
      <w:rFonts w:ascii="Venacti Rg" w:eastAsia="Times New Roman" w:hAnsi="Venacti Rg" w:cs="Calibri"/>
      <w:color w:val="E36C0A"/>
    </w:rPr>
  </w:style>
  <w:style w:type="character" w:customStyle="1" w:styleId="TitrepointCar">
    <w:name w:val="Titre point Car"/>
    <w:basedOn w:val="Policepardfaut"/>
    <w:link w:val="Titrepoint"/>
    <w:rsid w:val="006A63E9"/>
    <w:rPr>
      <w:rFonts w:ascii="Venacti Rg" w:eastAsia="Times New Roman" w:hAnsi="Venacti Rg" w:cs="Calibri"/>
      <w:color w:val="E36C0A"/>
      <w:szCs w:val="24"/>
      <w:lang w:eastAsia="fr-FR"/>
    </w:rPr>
  </w:style>
  <w:style w:type="character" w:customStyle="1" w:styleId="ParagraphedelisteCar">
    <w:name w:val="Paragraphe de liste Car"/>
    <w:link w:val="Paragraphedeliste"/>
    <w:uiPriority w:val="34"/>
    <w:rsid w:val="002F435C"/>
    <w:rPr>
      <w:rFonts w:eastAsia="Times New Roman" w:cs="Times New Roman"/>
      <w:szCs w:val="24"/>
      <w:lang w:eastAsia="fr-FR"/>
    </w:rPr>
  </w:style>
  <w:style w:type="paragraph" w:styleId="TM1">
    <w:name w:val="toc 1"/>
    <w:basedOn w:val="Normal"/>
    <w:next w:val="Normal"/>
    <w:autoRedefine/>
    <w:uiPriority w:val="39"/>
    <w:unhideWhenUsed/>
    <w:qFormat/>
    <w:rsid w:val="00DA5025"/>
    <w:pPr>
      <w:tabs>
        <w:tab w:val="left" w:pos="440"/>
        <w:tab w:val="right" w:pos="9913"/>
      </w:tabs>
      <w:spacing w:after="120" w:line="264" w:lineRule="auto"/>
    </w:pPr>
    <w:rPr>
      <w:rFonts w:eastAsia="Times New Roman"/>
      <w:b/>
      <w:bCs/>
      <w:sz w:val="20"/>
      <w:szCs w:val="20"/>
    </w:rPr>
  </w:style>
  <w:style w:type="paragraph" w:styleId="Citation">
    <w:name w:val="Quote"/>
    <w:basedOn w:val="Normal"/>
    <w:next w:val="Normal"/>
    <w:link w:val="CitationCar"/>
    <w:uiPriority w:val="29"/>
    <w:qFormat/>
    <w:rsid w:val="002F435C"/>
    <w:rPr>
      <w:i/>
      <w:iCs/>
      <w:color w:val="000000" w:themeColor="text1"/>
    </w:rPr>
  </w:style>
  <w:style w:type="character" w:customStyle="1" w:styleId="CitationCar">
    <w:name w:val="Citation Car"/>
    <w:basedOn w:val="Policepardfaut"/>
    <w:link w:val="Citation"/>
    <w:uiPriority w:val="29"/>
    <w:rsid w:val="002F435C"/>
    <w:rPr>
      <w:rFonts w:ascii="Times New Roman" w:eastAsia="Calibri" w:hAnsi="Times New Roman" w:cs="Times New Roman"/>
      <w:i/>
      <w:iCs/>
      <w:color w:val="000000" w:themeColor="text1"/>
      <w:sz w:val="24"/>
      <w:szCs w:val="24"/>
      <w:lang w:eastAsia="fr-FR"/>
    </w:rPr>
  </w:style>
  <w:style w:type="paragraph" w:styleId="Textedebulles">
    <w:name w:val="Balloon Text"/>
    <w:basedOn w:val="Normal"/>
    <w:link w:val="TextedebullesCar"/>
    <w:uiPriority w:val="99"/>
    <w:semiHidden/>
    <w:unhideWhenUsed/>
    <w:rsid w:val="002F435C"/>
    <w:rPr>
      <w:rFonts w:ascii="Tahoma" w:hAnsi="Tahoma" w:cs="Tahoma"/>
      <w:sz w:val="16"/>
      <w:szCs w:val="16"/>
    </w:rPr>
  </w:style>
  <w:style w:type="character" w:customStyle="1" w:styleId="TextedebullesCar">
    <w:name w:val="Texte de bulles Car"/>
    <w:basedOn w:val="Policepardfaut"/>
    <w:link w:val="Textedebulles"/>
    <w:uiPriority w:val="99"/>
    <w:semiHidden/>
    <w:rsid w:val="002F435C"/>
    <w:rPr>
      <w:rFonts w:ascii="Tahoma" w:eastAsia="Calibri" w:hAnsi="Tahoma" w:cs="Tahoma"/>
      <w:sz w:val="16"/>
      <w:szCs w:val="16"/>
      <w:lang w:eastAsia="fr-FR"/>
    </w:rPr>
  </w:style>
  <w:style w:type="paragraph" w:styleId="NormalWeb">
    <w:name w:val="Normal (Web)"/>
    <w:basedOn w:val="Normal"/>
    <w:uiPriority w:val="99"/>
    <w:unhideWhenUsed/>
    <w:rsid w:val="00E82999"/>
    <w:pPr>
      <w:spacing w:before="100" w:beforeAutospacing="1" w:after="100" w:afterAutospacing="1"/>
    </w:pPr>
    <w:rPr>
      <w:rFonts w:eastAsia="Times New Roman"/>
    </w:rPr>
  </w:style>
  <w:style w:type="character" w:customStyle="1" w:styleId="apple-converted-space">
    <w:name w:val="apple-converted-space"/>
    <w:basedOn w:val="Policepardfaut"/>
    <w:rsid w:val="00E82999"/>
  </w:style>
  <w:style w:type="character" w:styleId="lev">
    <w:name w:val="Strong"/>
    <w:basedOn w:val="Policepardfaut"/>
    <w:qFormat/>
    <w:rsid w:val="00E82999"/>
    <w:rPr>
      <w:b/>
      <w:bCs/>
    </w:rPr>
  </w:style>
  <w:style w:type="paragraph" w:styleId="Corpsdetexte">
    <w:name w:val="Body Text"/>
    <w:basedOn w:val="Normal"/>
    <w:link w:val="CorpsdetexteCar"/>
    <w:qFormat/>
    <w:rsid w:val="00E82999"/>
    <w:rPr>
      <w:rFonts w:ascii="Optima" w:eastAsia="Times New Roman" w:hAnsi="Optima"/>
    </w:rPr>
  </w:style>
  <w:style w:type="character" w:customStyle="1" w:styleId="CorpsdetexteCar">
    <w:name w:val="Corps de texte Car"/>
    <w:basedOn w:val="Policepardfaut"/>
    <w:link w:val="Corpsdetexte"/>
    <w:rsid w:val="00E82999"/>
    <w:rPr>
      <w:rFonts w:ascii="Optima" w:eastAsia="Times New Roman" w:hAnsi="Optima" w:cs="Times New Roman"/>
      <w:szCs w:val="24"/>
      <w:lang w:eastAsia="fr-FR"/>
    </w:rPr>
  </w:style>
  <w:style w:type="paragraph" w:styleId="En-tte">
    <w:name w:val="header"/>
    <w:basedOn w:val="Normal"/>
    <w:link w:val="En-tteCar"/>
    <w:unhideWhenUsed/>
    <w:rsid w:val="00EB0C85"/>
    <w:pPr>
      <w:tabs>
        <w:tab w:val="center" w:pos="4536"/>
        <w:tab w:val="right" w:pos="9072"/>
      </w:tabs>
    </w:pPr>
  </w:style>
  <w:style w:type="character" w:customStyle="1" w:styleId="En-tteCar">
    <w:name w:val="En-tête Car"/>
    <w:basedOn w:val="Policepardfaut"/>
    <w:link w:val="En-tte"/>
    <w:rsid w:val="00EB0C85"/>
    <w:rPr>
      <w:rFonts w:ascii="Times New Roman" w:eastAsia="Calibri" w:hAnsi="Times New Roman" w:cs="Times New Roman"/>
      <w:sz w:val="24"/>
      <w:szCs w:val="24"/>
      <w:lang w:eastAsia="fr-FR"/>
    </w:rPr>
  </w:style>
  <w:style w:type="paragraph" w:customStyle="1" w:styleId="Standard">
    <w:name w:val="Standard"/>
    <w:rsid w:val="00F457F2"/>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table" w:styleId="Listeclaire-Accent6">
    <w:name w:val="Light List Accent 6"/>
    <w:basedOn w:val="TableauNormal"/>
    <w:uiPriority w:val="61"/>
    <w:rsid w:val="000A6171"/>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character" w:customStyle="1" w:styleId="Titre2Car">
    <w:name w:val="Titre 2 Car"/>
    <w:basedOn w:val="Policepardfaut"/>
    <w:link w:val="Titre2"/>
    <w:uiPriority w:val="1"/>
    <w:rsid w:val="008C7669"/>
    <w:rPr>
      <w:rFonts w:asciiTheme="majorHAnsi" w:eastAsiaTheme="majorEastAsia" w:hAnsiTheme="majorHAnsi" w:cstheme="majorBidi"/>
      <w:b/>
      <w:bCs/>
      <w:color w:val="DF551A" w:themeColor="accent1"/>
      <w:sz w:val="26"/>
      <w:szCs w:val="26"/>
      <w:lang w:eastAsia="fr-FR"/>
    </w:rPr>
  </w:style>
  <w:style w:type="paragraph" w:customStyle="1" w:styleId="Corpsdetexte21">
    <w:name w:val="Corps de texte 21"/>
    <w:basedOn w:val="Normal"/>
    <w:rsid w:val="006108F5"/>
    <w:pPr>
      <w:overflowPunct w:val="0"/>
      <w:autoSpaceDE w:val="0"/>
      <w:autoSpaceDN w:val="0"/>
      <w:adjustRightInd w:val="0"/>
      <w:ind w:left="170" w:hanging="170"/>
      <w:textAlignment w:val="baseline"/>
    </w:pPr>
    <w:rPr>
      <w:rFonts w:ascii="Comic Sans MS" w:eastAsia="Times New Roman" w:hAnsi="Comic Sans MS"/>
      <w:szCs w:val="20"/>
    </w:rPr>
  </w:style>
  <w:style w:type="paragraph" w:styleId="Sansinterligne">
    <w:name w:val="No Spacing"/>
    <w:aliases w:val="Corps de texte gris"/>
    <w:link w:val="SansinterligneCar"/>
    <w:uiPriority w:val="1"/>
    <w:qFormat/>
    <w:rsid w:val="00517830"/>
    <w:pPr>
      <w:spacing w:after="0" w:line="240" w:lineRule="auto"/>
      <w:jc w:val="both"/>
    </w:pPr>
    <w:rPr>
      <w:rFonts w:eastAsia="Calibri" w:cs="Times New Roman"/>
      <w:szCs w:val="24"/>
      <w:lang w:eastAsia="fr-FR"/>
    </w:rPr>
  </w:style>
  <w:style w:type="table" w:customStyle="1" w:styleId="Grilledutableau1">
    <w:name w:val="Grille du tableau1"/>
    <w:basedOn w:val="TableauNormal"/>
    <w:next w:val="Grilledutableau"/>
    <w:rsid w:val="006B0D6A"/>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claire-Accent61">
    <w:name w:val="Liste claire - Accent 61"/>
    <w:basedOn w:val="TableauNormal"/>
    <w:next w:val="Listeclaire-Accent6"/>
    <w:uiPriority w:val="61"/>
    <w:rsid w:val="00E47726"/>
    <w:pPr>
      <w:spacing w:after="0" w:line="240" w:lineRule="auto"/>
    </w:p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pPr>
        <w:spacing w:before="0" w:after="0" w:line="240" w:lineRule="auto"/>
      </w:pPr>
      <w:rPr>
        <w:b/>
        <w:bCs/>
        <w:color w:val="FFFFFF" w:themeColor="background1"/>
      </w:rPr>
      <w:tblPr/>
      <w:tcPr>
        <w:shd w:val="clear" w:color="auto" w:fill="000000" w:themeFill="accent6"/>
      </w:tcPr>
    </w:tblStylePr>
    <w:tblStylePr w:type="lastRow">
      <w:pPr>
        <w:spacing w:before="0" w:after="0" w:line="240" w:lineRule="auto"/>
      </w:pPr>
      <w:rPr>
        <w:b/>
        <w:bCs/>
      </w:rPr>
      <w:tblPr/>
      <w:tcPr>
        <w:tcBorders>
          <w:top w:val="double" w:sz="6" w:space="0" w:color="000000" w:themeColor="accent6"/>
          <w:left w:val="single" w:sz="8" w:space="0" w:color="000000" w:themeColor="accent6"/>
          <w:bottom w:val="single" w:sz="8" w:space="0" w:color="000000" w:themeColor="accent6"/>
          <w:right w:val="single" w:sz="8" w:space="0" w:color="000000" w:themeColor="accent6"/>
        </w:tcBorders>
      </w:tcPr>
    </w:tblStylePr>
    <w:tblStylePr w:type="firstCol">
      <w:rPr>
        <w:b/>
        <w:bCs/>
      </w:rPr>
    </w:tblStylePr>
    <w:tblStylePr w:type="lastCol">
      <w:rPr>
        <w:b/>
        <w:bCs/>
      </w:rPr>
    </w:tblStylePr>
    <w:tblStylePr w:type="band1Vert">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tblStylePr w:type="band1Horz">
      <w:tblPr/>
      <w:tcPr>
        <w:tcBorders>
          <w:top w:val="single" w:sz="8" w:space="0" w:color="000000" w:themeColor="accent6"/>
          <w:left w:val="single" w:sz="8" w:space="0" w:color="000000" w:themeColor="accent6"/>
          <w:bottom w:val="single" w:sz="8" w:space="0" w:color="000000" w:themeColor="accent6"/>
          <w:right w:val="single" w:sz="8" w:space="0" w:color="000000" w:themeColor="accent6"/>
        </w:tcBorders>
      </w:tcPr>
    </w:tblStylePr>
  </w:style>
  <w:style w:type="table" w:customStyle="1" w:styleId="Listemoyenne11">
    <w:name w:val="Liste moyenne 11"/>
    <w:basedOn w:val="TableauNormal"/>
    <w:next w:val="Listemoyenne1"/>
    <w:uiPriority w:val="65"/>
    <w:rsid w:val="008E6507"/>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8A8B8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emoyenne1">
    <w:name w:val="Medium List 1"/>
    <w:basedOn w:val="TableauNormal"/>
    <w:uiPriority w:val="65"/>
    <w:rsid w:val="008E650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8A8B8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styleId="Lienhypertextesuivivisit">
    <w:name w:val="FollowedHyperlink"/>
    <w:basedOn w:val="Policepardfaut"/>
    <w:uiPriority w:val="99"/>
    <w:semiHidden/>
    <w:unhideWhenUsed/>
    <w:rsid w:val="00A0001B"/>
    <w:rPr>
      <w:color w:val="800080"/>
      <w:u w:val="single"/>
    </w:rPr>
  </w:style>
  <w:style w:type="paragraph" w:customStyle="1" w:styleId="xl66">
    <w:name w:val="xl66"/>
    <w:basedOn w:val="Normal"/>
    <w:rsid w:val="00A0001B"/>
    <w:pPr>
      <w:spacing w:before="100" w:beforeAutospacing="1" w:after="100" w:afterAutospacing="1"/>
      <w:jc w:val="left"/>
    </w:pPr>
    <w:rPr>
      <w:rFonts w:ascii="Calibri" w:eastAsia="Times New Roman" w:hAnsi="Calibri"/>
      <w:b/>
      <w:bCs/>
      <w:szCs w:val="22"/>
    </w:rPr>
  </w:style>
  <w:style w:type="paragraph" w:customStyle="1" w:styleId="xl67">
    <w:name w:val="xl67"/>
    <w:basedOn w:val="Normal"/>
    <w:rsid w:val="00A0001B"/>
    <w:pPr>
      <w:spacing w:before="100" w:beforeAutospacing="1" w:after="100" w:afterAutospacing="1"/>
      <w:jc w:val="center"/>
    </w:pPr>
    <w:rPr>
      <w:rFonts w:ascii="Calibri" w:eastAsia="Times New Roman" w:hAnsi="Calibri"/>
      <w:szCs w:val="22"/>
    </w:rPr>
  </w:style>
  <w:style w:type="paragraph" w:customStyle="1" w:styleId="xl68">
    <w:name w:val="xl68"/>
    <w:basedOn w:val="Normal"/>
    <w:rsid w:val="00A0001B"/>
    <w:pPr>
      <w:spacing w:before="100" w:beforeAutospacing="1" w:after="100" w:afterAutospacing="1"/>
      <w:jc w:val="left"/>
    </w:pPr>
    <w:rPr>
      <w:rFonts w:ascii="Calibri" w:eastAsia="Times New Roman" w:hAnsi="Calibri"/>
      <w:szCs w:val="22"/>
    </w:rPr>
  </w:style>
  <w:style w:type="paragraph" w:customStyle="1" w:styleId="xl69">
    <w:name w:val="xl69"/>
    <w:basedOn w:val="Normal"/>
    <w:rsid w:val="00A0001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0">
    <w:name w:val="xl70"/>
    <w:basedOn w:val="Normal"/>
    <w:rsid w:val="00A0001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1">
    <w:name w:val="xl71"/>
    <w:basedOn w:val="Normal"/>
    <w:rsid w:val="00A0001B"/>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eastAsia="Times New Roman" w:hAnsi="Calibri"/>
      <w:b/>
      <w:bCs/>
      <w:szCs w:val="22"/>
    </w:rPr>
  </w:style>
  <w:style w:type="paragraph" w:customStyle="1" w:styleId="xl72">
    <w:name w:val="xl72"/>
    <w:basedOn w:val="Normal"/>
    <w:rsid w:val="00A0001B"/>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3">
    <w:name w:val="xl73"/>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4">
    <w:name w:val="xl74"/>
    <w:basedOn w:val="Normal"/>
    <w:rsid w:val="00A0001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5">
    <w:name w:val="xl75"/>
    <w:basedOn w:val="Normal"/>
    <w:rsid w:val="00A0001B"/>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6">
    <w:name w:val="xl76"/>
    <w:basedOn w:val="Normal"/>
    <w:rsid w:val="00A0001B"/>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7">
    <w:name w:val="xl77"/>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78">
    <w:name w:val="xl78"/>
    <w:basedOn w:val="Normal"/>
    <w:rsid w:val="00A0001B"/>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Calibri" w:eastAsia="Times New Roman" w:hAnsi="Calibri"/>
      <w:szCs w:val="22"/>
    </w:rPr>
  </w:style>
  <w:style w:type="paragraph" w:customStyle="1" w:styleId="xl79">
    <w:name w:val="xl79"/>
    <w:basedOn w:val="Normal"/>
    <w:rsid w:val="00A0001B"/>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alibri" w:eastAsia="Times New Roman" w:hAnsi="Calibri"/>
      <w:szCs w:val="22"/>
    </w:rPr>
  </w:style>
  <w:style w:type="paragraph" w:customStyle="1" w:styleId="xl80">
    <w:name w:val="xl80"/>
    <w:basedOn w:val="Normal"/>
    <w:rsid w:val="00A0001B"/>
    <w:pPr>
      <w:shd w:val="clear" w:color="000000" w:fill="C0C0C0"/>
      <w:spacing w:before="100" w:beforeAutospacing="1" w:after="100" w:afterAutospacing="1"/>
      <w:jc w:val="center"/>
    </w:pPr>
    <w:rPr>
      <w:rFonts w:ascii="Calibri" w:eastAsia="Times New Roman" w:hAnsi="Calibri"/>
      <w:b/>
      <w:bCs/>
      <w:sz w:val="36"/>
      <w:szCs w:val="36"/>
    </w:rPr>
  </w:style>
  <w:style w:type="paragraph" w:styleId="Rvision">
    <w:name w:val="Revision"/>
    <w:hidden/>
    <w:uiPriority w:val="99"/>
    <w:semiHidden/>
    <w:rsid w:val="00472F87"/>
    <w:pPr>
      <w:spacing w:after="0" w:line="240" w:lineRule="auto"/>
    </w:pPr>
    <w:rPr>
      <w:rFonts w:eastAsia="Calibri" w:cs="Times New Roman"/>
      <w:szCs w:val="24"/>
      <w:lang w:eastAsia="fr-FR"/>
    </w:rPr>
  </w:style>
  <w:style w:type="paragraph" w:customStyle="1" w:styleId="xl64">
    <w:name w:val="xl64"/>
    <w:basedOn w:val="Normal"/>
    <w:rsid w:val="00D837F6"/>
    <w:pPr>
      <w:spacing w:before="100" w:beforeAutospacing="1" w:after="100" w:afterAutospacing="1"/>
      <w:jc w:val="center"/>
    </w:pPr>
    <w:rPr>
      <w:rFonts w:ascii="Calibri" w:eastAsia="Times New Roman" w:hAnsi="Calibri"/>
      <w:szCs w:val="22"/>
    </w:rPr>
  </w:style>
  <w:style w:type="paragraph" w:customStyle="1" w:styleId="xl65">
    <w:name w:val="xl65"/>
    <w:basedOn w:val="Normal"/>
    <w:rsid w:val="00D837F6"/>
    <w:pPr>
      <w:spacing w:before="100" w:beforeAutospacing="1" w:after="100" w:afterAutospacing="1"/>
      <w:jc w:val="left"/>
    </w:pPr>
    <w:rPr>
      <w:rFonts w:ascii="Calibri" w:eastAsia="Times New Roman" w:hAnsi="Calibri"/>
      <w:szCs w:val="22"/>
    </w:rPr>
  </w:style>
  <w:style w:type="character" w:customStyle="1" w:styleId="Titre1Car">
    <w:name w:val="Titre 1 Car"/>
    <w:basedOn w:val="Policepardfaut"/>
    <w:link w:val="Titre1"/>
    <w:uiPriority w:val="1"/>
    <w:rsid w:val="00DF7220"/>
    <w:rPr>
      <w:rFonts w:ascii="Trebuchet MS" w:eastAsia="Trebuchet MS" w:hAnsi="Trebuchet MS"/>
      <w:b/>
      <w:bCs/>
      <w:sz w:val="24"/>
      <w:szCs w:val="24"/>
      <w:u w:val="single"/>
      <w:lang w:val="en-US"/>
    </w:rPr>
  </w:style>
  <w:style w:type="character" w:customStyle="1" w:styleId="Titre3Car">
    <w:name w:val="Titre 3 Car"/>
    <w:basedOn w:val="Policepardfaut"/>
    <w:link w:val="Titre3"/>
    <w:rsid w:val="00DF7220"/>
    <w:rPr>
      <w:rFonts w:ascii="Trebuchet MS" w:eastAsia="Trebuchet MS" w:hAnsi="Trebuchet MS"/>
      <w:sz w:val="24"/>
      <w:szCs w:val="24"/>
      <w:lang w:val="en-US"/>
    </w:rPr>
  </w:style>
  <w:style w:type="character" w:customStyle="1" w:styleId="Titre5Car">
    <w:name w:val="Titre 5 Car"/>
    <w:basedOn w:val="Policepardfaut"/>
    <w:link w:val="Titre5"/>
    <w:rsid w:val="00DF7220"/>
    <w:rPr>
      <w:rFonts w:ascii="Trebuchet MS" w:eastAsia="Trebuchet MS" w:hAnsi="Trebuchet MS"/>
      <w:b/>
      <w:bCs/>
      <w:sz w:val="20"/>
      <w:szCs w:val="20"/>
      <w:lang w:val="en-US"/>
    </w:rPr>
  </w:style>
  <w:style w:type="character" w:customStyle="1" w:styleId="Titre6Car">
    <w:name w:val="Titre 6 Car"/>
    <w:basedOn w:val="Policepardfaut"/>
    <w:link w:val="Titre6"/>
    <w:rsid w:val="00DF7220"/>
    <w:rPr>
      <w:rFonts w:ascii="Trebuchet MS" w:eastAsia="Trebuchet MS" w:hAnsi="Trebuchet MS"/>
      <w:b/>
      <w:bCs/>
      <w:i/>
      <w:sz w:val="20"/>
      <w:szCs w:val="20"/>
      <w:lang w:val="en-US"/>
    </w:rPr>
  </w:style>
  <w:style w:type="numbering" w:customStyle="1" w:styleId="Aucuneliste1">
    <w:name w:val="Aucune liste1"/>
    <w:next w:val="Aucuneliste"/>
    <w:uiPriority w:val="99"/>
    <w:semiHidden/>
    <w:unhideWhenUsed/>
    <w:rsid w:val="00DF7220"/>
  </w:style>
  <w:style w:type="table" w:customStyle="1" w:styleId="TableNormal">
    <w:name w:val="Table Normal"/>
    <w:uiPriority w:val="2"/>
    <w:semiHidden/>
    <w:unhideWhenUsed/>
    <w:qFormat/>
    <w:rsid w:val="00DF722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F7220"/>
    <w:pPr>
      <w:widowControl w:val="0"/>
      <w:jc w:val="left"/>
    </w:pPr>
    <w:rPr>
      <w:rFonts w:eastAsiaTheme="minorHAnsi" w:cstheme="minorBidi"/>
      <w:szCs w:val="22"/>
      <w:lang w:val="en-US" w:eastAsia="en-US"/>
    </w:rPr>
  </w:style>
  <w:style w:type="character" w:customStyle="1" w:styleId="SansinterligneCar">
    <w:name w:val="Sans interligne Car"/>
    <w:aliases w:val="Corps de texte gris Car"/>
    <w:link w:val="Sansinterligne"/>
    <w:uiPriority w:val="1"/>
    <w:rsid w:val="005008EE"/>
    <w:rPr>
      <w:rFonts w:eastAsia="Calibri" w:cs="Times New Roman"/>
      <w:szCs w:val="24"/>
      <w:lang w:eastAsia="fr-FR"/>
    </w:rPr>
  </w:style>
  <w:style w:type="paragraph" w:customStyle="1" w:styleId="Normal9pt">
    <w:name w:val="Normal 9pt"/>
    <w:basedOn w:val="Normal"/>
    <w:link w:val="Normal9ptCar"/>
    <w:qFormat/>
    <w:rsid w:val="005008EE"/>
    <w:pPr>
      <w:spacing w:after="80" w:line="264" w:lineRule="auto"/>
    </w:pPr>
    <w:rPr>
      <w:rFonts w:ascii="Calibri" w:eastAsia="Times New Roman" w:hAnsi="Calibri"/>
      <w:sz w:val="18"/>
      <w:szCs w:val="18"/>
      <w:lang w:val="en-US" w:eastAsia="x-none"/>
    </w:rPr>
  </w:style>
  <w:style w:type="character" w:customStyle="1" w:styleId="Normal9ptCar">
    <w:name w:val="Normal 9pt Car"/>
    <w:link w:val="Normal9pt"/>
    <w:rsid w:val="005008EE"/>
    <w:rPr>
      <w:rFonts w:ascii="Calibri" w:eastAsia="Times New Roman" w:hAnsi="Calibri" w:cs="Times New Roman"/>
      <w:sz w:val="18"/>
      <w:szCs w:val="18"/>
      <w:lang w:val="en-US" w:eastAsia="x-none"/>
    </w:rPr>
  </w:style>
  <w:style w:type="character" w:customStyle="1" w:styleId="Titre8Car">
    <w:name w:val="Titre 8 Car"/>
    <w:basedOn w:val="Policepardfaut"/>
    <w:link w:val="Titre8"/>
    <w:semiHidden/>
    <w:rsid w:val="00CF3504"/>
    <w:rPr>
      <w:rFonts w:asciiTheme="majorHAnsi" w:eastAsiaTheme="majorEastAsia" w:hAnsiTheme="majorHAnsi" w:cstheme="majorBidi"/>
      <w:color w:val="404040" w:themeColor="text1" w:themeTint="BF"/>
      <w:sz w:val="20"/>
      <w:szCs w:val="20"/>
      <w:lang w:eastAsia="fr-FR"/>
    </w:rPr>
  </w:style>
  <w:style w:type="paragraph" w:styleId="Textebrut">
    <w:name w:val="Plain Text"/>
    <w:basedOn w:val="Normal"/>
    <w:link w:val="TextebrutCar"/>
    <w:uiPriority w:val="99"/>
    <w:rsid w:val="00CF3504"/>
    <w:pPr>
      <w:jc w:val="left"/>
    </w:pPr>
    <w:rPr>
      <w:rFonts w:ascii="Courier New" w:eastAsia="Times New Roman" w:hAnsi="Courier New"/>
      <w:sz w:val="20"/>
      <w:szCs w:val="20"/>
      <w:lang w:eastAsia="ar-SA"/>
    </w:rPr>
  </w:style>
  <w:style w:type="character" w:customStyle="1" w:styleId="TextebrutCar">
    <w:name w:val="Texte brut Car"/>
    <w:basedOn w:val="Policepardfaut"/>
    <w:link w:val="Textebrut"/>
    <w:uiPriority w:val="99"/>
    <w:rsid w:val="00CF3504"/>
    <w:rPr>
      <w:rFonts w:ascii="Courier New" w:eastAsia="Times New Roman" w:hAnsi="Courier New" w:cs="Times New Roman"/>
      <w:sz w:val="20"/>
      <w:szCs w:val="20"/>
      <w:lang w:eastAsia="ar-SA"/>
    </w:rPr>
  </w:style>
  <w:style w:type="table" w:styleId="Tramemoyenne1-Accent2">
    <w:name w:val="Medium Shading 1 Accent 2"/>
    <w:basedOn w:val="TableauNormal"/>
    <w:uiPriority w:val="63"/>
    <w:rsid w:val="008A6A07"/>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single" w:sz="8" w:space="0" w:color="93D2D4" w:themeColor="accent2" w:themeTint="BF"/>
      </w:tblBorders>
    </w:tblPr>
    <w:tblStylePr w:type="firstRow">
      <w:pPr>
        <w:spacing w:before="0" w:after="0" w:line="240" w:lineRule="auto"/>
      </w:pPr>
      <w:rPr>
        <w:b/>
        <w:bCs/>
        <w:color w:val="FFFFFF" w:themeColor="background1"/>
      </w:rPr>
      <w:tblPr/>
      <w:tcPr>
        <w:tcBorders>
          <w:top w:val="single" w:sz="8"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shd w:val="clear" w:color="auto" w:fill="70C3C6" w:themeFill="accent2"/>
      </w:tcPr>
    </w:tblStylePr>
    <w:tblStylePr w:type="lastRow">
      <w:pPr>
        <w:spacing w:before="0" w:after="0" w:line="240" w:lineRule="auto"/>
      </w:pPr>
      <w:rPr>
        <w:b/>
        <w:bCs/>
      </w:rPr>
      <w:tblPr/>
      <w:tcPr>
        <w:tcBorders>
          <w:top w:val="double" w:sz="6" w:space="0" w:color="93D2D4" w:themeColor="accent2" w:themeTint="BF"/>
          <w:left w:val="single" w:sz="8" w:space="0" w:color="93D2D4" w:themeColor="accent2" w:themeTint="BF"/>
          <w:bottom w:val="single" w:sz="8" w:space="0" w:color="93D2D4" w:themeColor="accent2" w:themeTint="BF"/>
          <w:right w:val="single" w:sz="8" w:space="0" w:color="93D2D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F0F0" w:themeFill="accent2" w:themeFillTint="3F"/>
      </w:tcPr>
    </w:tblStylePr>
    <w:tblStylePr w:type="band1Horz">
      <w:tblPr/>
      <w:tcPr>
        <w:tcBorders>
          <w:insideH w:val="nil"/>
          <w:insideV w:val="nil"/>
        </w:tcBorders>
        <w:shd w:val="clear" w:color="auto" w:fill="DBF0F0" w:themeFill="accent2" w:themeFillTint="3F"/>
      </w:tcPr>
    </w:tblStylePr>
    <w:tblStylePr w:type="band2Horz">
      <w:tblPr/>
      <w:tcPr>
        <w:tcBorders>
          <w:insideH w:val="nil"/>
          <w:insideV w:val="nil"/>
        </w:tcBorders>
      </w:tcPr>
    </w:tblStylePr>
  </w:style>
  <w:style w:type="paragraph" w:customStyle="1" w:styleId="isoblockposition-none">
    <w:name w:val="isoblockposition-none"/>
    <w:basedOn w:val="Normal"/>
    <w:rsid w:val="00AC1E89"/>
    <w:pPr>
      <w:spacing w:before="100" w:beforeAutospacing="1" w:after="100" w:afterAutospacing="1"/>
      <w:jc w:val="left"/>
    </w:pPr>
    <w:rPr>
      <w:rFonts w:ascii="Times New Roman" w:eastAsia="Times New Roman" w:hAnsi="Times New Roman"/>
      <w:sz w:val="24"/>
    </w:rPr>
  </w:style>
  <w:style w:type="paragraph" w:customStyle="1" w:styleId="bsparaleft">
    <w:name w:val="bsparaleft"/>
    <w:basedOn w:val="Normal"/>
    <w:rsid w:val="00AC1E89"/>
    <w:pPr>
      <w:spacing w:before="100" w:beforeAutospacing="1" w:after="100" w:afterAutospacing="1"/>
      <w:jc w:val="left"/>
    </w:pPr>
    <w:rPr>
      <w:rFonts w:ascii="Times New Roman" w:eastAsia="Times New Roman" w:hAnsi="Times New Roman"/>
      <w:sz w:val="24"/>
    </w:rPr>
  </w:style>
  <w:style w:type="character" w:customStyle="1" w:styleId="Puce1Car">
    <w:name w:val="Puce 1 Car"/>
    <w:basedOn w:val="Policepardfaut"/>
    <w:link w:val="Puce1"/>
    <w:locked/>
    <w:rsid w:val="00CC6183"/>
    <w:rPr>
      <w:rFonts w:ascii="Calibri" w:hAnsi="Calibri"/>
    </w:rPr>
  </w:style>
  <w:style w:type="paragraph" w:customStyle="1" w:styleId="Puce1">
    <w:name w:val="Puce 1"/>
    <w:basedOn w:val="Paragraphedeliste"/>
    <w:link w:val="Puce1Car"/>
    <w:qFormat/>
    <w:rsid w:val="00CC6183"/>
    <w:pPr>
      <w:numPr>
        <w:numId w:val="3"/>
      </w:numPr>
      <w:spacing w:before="120" w:after="120" w:line="240" w:lineRule="auto"/>
      <w:contextualSpacing w:val="0"/>
    </w:pPr>
    <w:rPr>
      <w:rFonts w:ascii="Calibri" w:eastAsiaTheme="minorHAnsi" w:hAnsi="Calibri" w:cstheme="minorBidi"/>
      <w:szCs w:val="22"/>
      <w:lang w:eastAsia="en-US"/>
    </w:rPr>
  </w:style>
  <w:style w:type="character" w:customStyle="1" w:styleId="Titre7Car">
    <w:name w:val="Titre 7 Car"/>
    <w:basedOn w:val="Policepardfaut"/>
    <w:link w:val="Titre7"/>
    <w:rsid w:val="00672AC9"/>
    <w:rPr>
      <w:rFonts w:ascii="Comic Sans MS" w:eastAsia="Times New Roman" w:hAnsi="Comic Sans MS" w:cs="Times New Roman"/>
      <w:b/>
      <w:szCs w:val="20"/>
      <w:lang w:val="x-none" w:eastAsia="x-none"/>
    </w:rPr>
  </w:style>
  <w:style w:type="character" w:customStyle="1" w:styleId="Titre9Car">
    <w:name w:val="Titre 9 Car"/>
    <w:basedOn w:val="Policepardfaut"/>
    <w:link w:val="Titre9"/>
    <w:semiHidden/>
    <w:rsid w:val="00672AC9"/>
    <w:rPr>
      <w:rFonts w:ascii="Cambria" w:eastAsia="Times New Roman" w:hAnsi="Cambria" w:cs="Times New Roman"/>
      <w:lang w:val="x-none" w:eastAsia="x-none"/>
    </w:rPr>
  </w:style>
  <w:style w:type="paragraph" w:styleId="Sous-titre">
    <w:name w:val="Subtitle"/>
    <w:basedOn w:val="Normal"/>
    <w:next w:val="Normal"/>
    <w:link w:val="Sous-titreCar"/>
    <w:qFormat/>
    <w:rsid w:val="00672AC9"/>
    <w:pPr>
      <w:spacing w:after="60" w:line="264" w:lineRule="auto"/>
      <w:jc w:val="center"/>
      <w:outlineLvl w:val="1"/>
    </w:pPr>
    <w:rPr>
      <w:rFonts w:ascii="Cambria" w:eastAsia="Times New Roman" w:hAnsi="Cambria"/>
      <w:sz w:val="24"/>
      <w:lang w:val="x-none" w:eastAsia="x-none"/>
    </w:rPr>
  </w:style>
  <w:style w:type="character" w:customStyle="1" w:styleId="Sous-titreCar">
    <w:name w:val="Sous-titre Car"/>
    <w:basedOn w:val="Policepardfaut"/>
    <w:link w:val="Sous-titre"/>
    <w:rsid w:val="00672AC9"/>
    <w:rPr>
      <w:rFonts w:ascii="Cambria" w:eastAsia="Times New Roman" w:hAnsi="Cambria" w:cs="Times New Roman"/>
      <w:sz w:val="24"/>
      <w:szCs w:val="24"/>
      <w:lang w:val="x-none" w:eastAsia="x-none"/>
    </w:rPr>
  </w:style>
  <w:style w:type="paragraph" w:styleId="Lgende">
    <w:name w:val="caption"/>
    <w:basedOn w:val="Normal"/>
    <w:next w:val="Normal"/>
    <w:semiHidden/>
    <w:unhideWhenUsed/>
    <w:qFormat/>
    <w:rsid w:val="00672AC9"/>
    <w:pPr>
      <w:spacing w:line="264" w:lineRule="auto"/>
    </w:pPr>
    <w:rPr>
      <w:rFonts w:ascii="Calibri" w:eastAsia="Times New Roman" w:hAnsi="Calibri"/>
      <w:b/>
      <w:bCs/>
    </w:rPr>
  </w:style>
  <w:style w:type="paragraph" w:styleId="Titre">
    <w:name w:val="Title"/>
    <w:basedOn w:val="Normal"/>
    <w:next w:val="Normal"/>
    <w:link w:val="TitreCar"/>
    <w:qFormat/>
    <w:rsid w:val="00672AC9"/>
    <w:pPr>
      <w:spacing w:before="240" w:after="60" w:line="264" w:lineRule="auto"/>
      <w:jc w:val="center"/>
      <w:outlineLvl w:val="0"/>
    </w:pPr>
    <w:rPr>
      <w:rFonts w:ascii="Cambria" w:eastAsia="Times New Roman" w:hAnsi="Cambria"/>
      <w:b/>
      <w:bCs/>
      <w:kern w:val="28"/>
      <w:sz w:val="32"/>
      <w:szCs w:val="32"/>
      <w:lang w:val="x-none" w:eastAsia="x-none"/>
    </w:rPr>
  </w:style>
  <w:style w:type="character" w:customStyle="1" w:styleId="TitreCar">
    <w:name w:val="Titre Car"/>
    <w:basedOn w:val="Policepardfaut"/>
    <w:link w:val="Titre"/>
    <w:rsid w:val="00672AC9"/>
    <w:rPr>
      <w:rFonts w:ascii="Cambria" w:eastAsia="Times New Roman" w:hAnsi="Cambria" w:cs="Times New Roman"/>
      <w:b/>
      <w:bCs/>
      <w:kern w:val="28"/>
      <w:sz w:val="32"/>
      <w:szCs w:val="32"/>
      <w:lang w:val="x-none" w:eastAsia="x-none"/>
    </w:rPr>
  </w:style>
  <w:style w:type="character" w:styleId="Accentuation">
    <w:name w:val="Emphasis"/>
    <w:qFormat/>
    <w:rsid w:val="00672AC9"/>
    <w:rPr>
      <w:i/>
      <w:iCs/>
    </w:rPr>
  </w:style>
  <w:style w:type="paragraph" w:styleId="Citationintense">
    <w:name w:val="Intense Quote"/>
    <w:basedOn w:val="Normal"/>
    <w:next w:val="Normal"/>
    <w:link w:val="CitationintenseCar"/>
    <w:uiPriority w:val="30"/>
    <w:qFormat/>
    <w:rsid w:val="00672AC9"/>
    <w:pPr>
      <w:pBdr>
        <w:bottom w:val="single" w:sz="4" w:space="4" w:color="4F81BD"/>
      </w:pBdr>
      <w:spacing w:before="200" w:after="280" w:line="264" w:lineRule="auto"/>
      <w:ind w:left="936" w:right="936"/>
    </w:pPr>
    <w:rPr>
      <w:rFonts w:ascii="Swiss" w:eastAsia="Times New Roman" w:hAnsi="Swiss"/>
      <w:b/>
      <w:bCs/>
      <w:i/>
      <w:iCs/>
      <w:color w:val="4F81BD"/>
      <w:szCs w:val="20"/>
      <w:lang w:val="x-none" w:eastAsia="x-none"/>
    </w:rPr>
  </w:style>
  <w:style w:type="character" w:customStyle="1" w:styleId="CitationintenseCar">
    <w:name w:val="Citation intense Car"/>
    <w:basedOn w:val="Policepardfaut"/>
    <w:link w:val="Citationintense"/>
    <w:uiPriority w:val="30"/>
    <w:rsid w:val="00672AC9"/>
    <w:rPr>
      <w:rFonts w:ascii="Swiss" w:eastAsia="Times New Roman" w:hAnsi="Swiss" w:cs="Times New Roman"/>
      <w:b/>
      <w:bCs/>
      <w:i/>
      <w:iCs/>
      <w:color w:val="4F81BD"/>
      <w:szCs w:val="20"/>
      <w:lang w:val="x-none" w:eastAsia="x-none"/>
    </w:rPr>
  </w:style>
  <w:style w:type="character" w:styleId="Emphaseple">
    <w:name w:val="Subtle Emphasis"/>
    <w:uiPriority w:val="19"/>
    <w:qFormat/>
    <w:rsid w:val="00672AC9"/>
    <w:rPr>
      <w:i/>
      <w:iCs/>
      <w:color w:val="808080"/>
    </w:rPr>
  </w:style>
  <w:style w:type="character" w:styleId="Emphaseintense">
    <w:name w:val="Intense Emphasis"/>
    <w:uiPriority w:val="21"/>
    <w:qFormat/>
    <w:rsid w:val="00672AC9"/>
    <w:rPr>
      <w:b/>
      <w:bCs/>
      <w:i/>
      <w:iCs/>
      <w:color w:val="4F81BD"/>
    </w:rPr>
  </w:style>
  <w:style w:type="character" w:styleId="Rfrenceple">
    <w:name w:val="Subtle Reference"/>
    <w:uiPriority w:val="31"/>
    <w:qFormat/>
    <w:rsid w:val="00672AC9"/>
    <w:rPr>
      <w:smallCaps/>
      <w:color w:val="C0504D"/>
      <w:u w:val="single"/>
    </w:rPr>
  </w:style>
  <w:style w:type="character" w:styleId="Rfrenceintense">
    <w:name w:val="Intense Reference"/>
    <w:uiPriority w:val="32"/>
    <w:qFormat/>
    <w:rsid w:val="00672AC9"/>
    <w:rPr>
      <w:b/>
      <w:bCs/>
      <w:smallCaps/>
      <w:color w:val="C0504D"/>
      <w:spacing w:val="5"/>
      <w:u w:val="single"/>
    </w:rPr>
  </w:style>
  <w:style w:type="character" w:styleId="Titredulivre">
    <w:name w:val="Book Title"/>
    <w:uiPriority w:val="33"/>
    <w:qFormat/>
    <w:rsid w:val="00672AC9"/>
    <w:rPr>
      <w:b/>
      <w:bCs/>
      <w:smallCaps/>
      <w:spacing w:val="5"/>
    </w:rPr>
  </w:style>
  <w:style w:type="paragraph" w:styleId="En-ttedetabledesmatires">
    <w:name w:val="TOC Heading"/>
    <w:basedOn w:val="Titre1"/>
    <w:next w:val="Normal"/>
    <w:uiPriority w:val="39"/>
    <w:semiHidden/>
    <w:unhideWhenUsed/>
    <w:qFormat/>
    <w:rsid w:val="00672AC9"/>
    <w:pPr>
      <w:keepNext/>
      <w:keepLines/>
      <w:widowControl/>
      <w:spacing w:before="480" w:line="276" w:lineRule="auto"/>
      <w:ind w:left="0"/>
      <w:outlineLvl w:val="9"/>
    </w:pPr>
    <w:rPr>
      <w:rFonts w:ascii="Cambria" w:eastAsia="Times New Roman" w:hAnsi="Cambria" w:cs="Times New Roman"/>
      <w:color w:val="365F91"/>
      <w:sz w:val="28"/>
      <w:szCs w:val="28"/>
      <w:u w:val="none"/>
      <w:lang w:val="x-none"/>
    </w:rPr>
  </w:style>
  <w:style w:type="paragraph" w:styleId="TM2">
    <w:name w:val="toc 2"/>
    <w:basedOn w:val="Normal"/>
    <w:next w:val="Normal"/>
    <w:autoRedefine/>
    <w:uiPriority w:val="39"/>
    <w:unhideWhenUsed/>
    <w:qFormat/>
    <w:rsid w:val="00672AC9"/>
    <w:pPr>
      <w:tabs>
        <w:tab w:val="left" w:pos="2127"/>
        <w:tab w:val="right" w:leader="dot" w:pos="9061"/>
      </w:tabs>
      <w:spacing w:before="240" w:line="264" w:lineRule="auto"/>
      <w:ind w:left="426"/>
      <w:jc w:val="left"/>
    </w:pPr>
    <w:rPr>
      <w:rFonts w:ascii="Comic Sans MS" w:eastAsia="Times New Roman" w:hAnsi="Comic Sans MS"/>
      <w:bCs/>
      <w:i/>
      <w:noProof/>
      <w:color w:val="69A373"/>
    </w:rPr>
  </w:style>
  <w:style w:type="paragraph" w:styleId="TM3">
    <w:name w:val="toc 3"/>
    <w:basedOn w:val="Normal"/>
    <w:next w:val="Normal"/>
    <w:autoRedefine/>
    <w:uiPriority w:val="39"/>
    <w:qFormat/>
    <w:rsid w:val="00672AC9"/>
    <w:pPr>
      <w:tabs>
        <w:tab w:val="right" w:leader="dot" w:pos="9061"/>
      </w:tabs>
      <w:spacing w:line="264" w:lineRule="auto"/>
      <w:jc w:val="left"/>
    </w:pPr>
    <w:rPr>
      <w:rFonts w:ascii="Comic Sans MS" w:eastAsia="Times New Roman" w:hAnsi="Comic Sans MS"/>
      <w:b/>
      <w:bCs/>
      <w:smallCaps/>
      <w:noProof/>
      <w:color w:val="0033CC"/>
      <w:spacing w:val="5"/>
    </w:rPr>
  </w:style>
  <w:style w:type="paragraph" w:styleId="Corpsdetexte2">
    <w:name w:val="Body Text 2"/>
    <w:basedOn w:val="Normal"/>
    <w:link w:val="Corpsdetexte2Car"/>
    <w:uiPriority w:val="99"/>
    <w:semiHidden/>
    <w:unhideWhenUsed/>
    <w:rsid w:val="00672AC9"/>
    <w:pPr>
      <w:spacing w:after="120" w:line="480" w:lineRule="auto"/>
    </w:pPr>
    <w:rPr>
      <w:rFonts w:ascii="Calibri" w:eastAsia="Times New Roman" w:hAnsi="Calibri"/>
      <w:lang w:val="x-none" w:eastAsia="x-none"/>
    </w:rPr>
  </w:style>
  <w:style w:type="character" w:customStyle="1" w:styleId="Corpsdetexte2Car">
    <w:name w:val="Corps de texte 2 Car"/>
    <w:basedOn w:val="Policepardfaut"/>
    <w:link w:val="Corpsdetexte2"/>
    <w:uiPriority w:val="99"/>
    <w:semiHidden/>
    <w:rsid w:val="00672AC9"/>
    <w:rPr>
      <w:rFonts w:ascii="Calibri" w:eastAsia="Times New Roman" w:hAnsi="Calibri" w:cs="Times New Roman"/>
      <w:szCs w:val="24"/>
      <w:lang w:val="x-none" w:eastAsia="x-none"/>
    </w:rPr>
  </w:style>
  <w:style w:type="paragraph" w:styleId="Retraitcorpsdetexte">
    <w:name w:val="Body Text Indent"/>
    <w:basedOn w:val="Normal"/>
    <w:link w:val="RetraitcorpsdetexteCar"/>
    <w:uiPriority w:val="99"/>
    <w:semiHidden/>
    <w:unhideWhenUsed/>
    <w:rsid w:val="00672AC9"/>
    <w:pPr>
      <w:spacing w:after="120" w:line="264" w:lineRule="auto"/>
      <w:ind w:left="283"/>
    </w:pPr>
    <w:rPr>
      <w:rFonts w:ascii="Calibri" w:eastAsia="Times New Roman" w:hAnsi="Calibri"/>
      <w:lang w:val="x-none" w:eastAsia="x-none"/>
    </w:rPr>
  </w:style>
  <w:style w:type="character" w:customStyle="1" w:styleId="RetraitcorpsdetexteCar">
    <w:name w:val="Retrait corps de texte Car"/>
    <w:basedOn w:val="Policepardfaut"/>
    <w:link w:val="Retraitcorpsdetexte"/>
    <w:uiPriority w:val="99"/>
    <w:semiHidden/>
    <w:rsid w:val="00672AC9"/>
    <w:rPr>
      <w:rFonts w:ascii="Calibri" w:eastAsia="Times New Roman" w:hAnsi="Calibri" w:cs="Times New Roman"/>
      <w:szCs w:val="24"/>
      <w:lang w:val="x-none" w:eastAsia="x-none"/>
    </w:rPr>
  </w:style>
  <w:style w:type="paragraph" w:customStyle="1" w:styleId="Puceorange9pt">
    <w:name w:val="Puce orange 9pt"/>
    <w:basedOn w:val="Normal"/>
    <w:link w:val="Puceorange9ptCar"/>
    <w:rsid w:val="00672AC9"/>
    <w:pPr>
      <w:spacing w:line="264" w:lineRule="auto"/>
    </w:pPr>
    <w:rPr>
      <w:rFonts w:ascii="Arial" w:eastAsia="Times New Roman" w:hAnsi="Arial"/>
      <w:color w:val="DF551A"/>
      <w:sz w:val="18"/>
      <w:lang w:val="en-US" w:eastAsia="x-none"/>
    </w:rPr>
  </w:style>
  <w:style w:type="character" w:customStyle="1" w:styleId="Puceorange9ptCar">
    <w:name w:val="Puce orange 9pt Car"/>
    <w:link w:val="Puceorange9pt"/>
    <w:rsid w:val="00672AC9"/>
    <w:rPr>
      <w:rFonts w:ascii="Arial" w:eastAsia="Times New Roman" w:hAnsi="Arial" w:cs="Times New Roman"/>
      <w:color w:val="DF551A"/>
      <w:sz w:val="18"/>
      <w:szCs w:val="24"/>
      <w:lang w:val="en-US" w:eastAsia="x-none"/>
    </w:rPr>
  </w:style>
  <w:style w:type="paragraph" w:styleId="Retraitcorpsdetexte2">
    <w:name w:val="Body Text Indent 2"/>
    <w:basedOn w:val="Normal"/>
    <w:link w:val="Retraitcorpsdetexte2Car"/>
    <w:uiPriority w:val="99"/>
    <w:semiHidden/>
    <w:unhideWhenUsed/>
    <w:rsid w:val="00672AC9"/>
    <w:pPr>
      <w:spacing w:after="120" w:line="480" w:lineRule="auto"/>
      <w:ind w:left="283"/>
    </w:pPr>
    <w:rPr>
      <w:rFonts w:ascii="Calibri" w:eastAsia="Times New Roman" w:hAnsi="Calibri"/>
      <w:lang w:val="x-none" w:eastAsia="x-none"/>
    </w:rPr>
  </w:style>
  <w:style w:type="character" w:customStyle="1" w:styleId="Retraitcorpsdetexte2Car">
    <w:name w:val="Retrait corps de texte 2 Car"/>
    <w:basedOn w:val="Policepardfaut"/>
    <w:link w:val="Retraitcorpsdetexte2"/>
    <w:uiPriority w:val="99"/>
    <w:semiHidden/>
    <w:rsid w:val="00672AC9"/>
    <w:rPr>
      <w:rFonts w:ascii="Calibri" w:eastAsia="Times New Roman" w:hAnsi="Calibri" w:cs="Times New Roman"/>
      <w:szCs w:val="24"/>
      <w:lang w:val="x-none" w:eastAsia="x-none"/>
    </w:rPr>
  </w:style>
  <w:style w:type="paragraph" w:customStyle="1" w:styleId="Corpsdetexte22">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Cs w:val="20"/>
    </w:rPr>
  </w:style>
  <w:style w:type="paragraph" w:styleId="Commentaire">
    <w:name w:val="annotation text"/>
    <w:basedOn w:val="Normal"/>
    <w:link w:val="CommentaireCar"/>
    <w:uiPriority w:val="99"/>
    <w:semiHidden/>
    <w:rsid w:val="00672AC9"/>
    <w:pPr>
      <w:jc w:val="left"/>
    </w:pPr>
    <w:rPr>
      <w:rFonts w:ascii="Times New Roman" w:eastAsia="Times New Roman" w:hAnsi="Times New Roman"/>
      <w:szCs w:val="20"/>
      <w:lang w:val="x-none" w:eastAsia="x-none"/>
    </w:rPr>
  </w:style>
  <w:style w:type="character" w:customStyle="1" w:styleId="CommentaireCar">
    <w:name w:val="Commentaire Car"/>
    <w:basedOn w:val="Policepardfaut"/>
    <w:link w:val="Commentaire"/>
    <w:uiPriority w:val="99"/>
    <w:semiHidden/>
    <w:rsid w:val="00672AC9"/>
    <w:rPr>
      <w:rFonts w:ascii="Times New Roman" w:eastAsia="Times New Roman" w:hAnsi="Times New Roman" w:cs="Times New Roman"/>
      <w:szCs w:val="20"/>
      <w:lang w:val="x-none" w:eastAsia="x-none"/>
    </w:rPr>
  </w:style>
  <w:style w:type="paragraph" w:styleId="Explorateurdedocuments">
    <w:name w:val="Document Map"/>
    <w:basedOn w:val="Normal"/>
    <w:link w:val="ExplorateurdedocumentsCar"/>
    <w:uiPriority w:val="99"/>
    <w:semiHidden/>
    <w:unhideWhenUsed/>
    <w:rsid w:val="00672AC9"/>
    <w:pPr>
      <w:spacing w:line="264" w:lineRule="auto"/>
    </w:pPr>
    <w:rPr>
      <w:rFonts w:ascii="Tahoma" w:eastAsia="Times New Roman" w:hAnsi="Tahoma"/>
      <w:sz w:val="16"/>
      <w:szCs w:val="16"/>
      <w:lang w:val="x-none" w:eastAsia="x-none"/>
    </w:rPr>
  </w:style>
  <w:style w:type="character" w:customStyle="1" w:styleId="ExplorateurdedocumentsCar">
    <w:name w:val="Explorateur de documents Car"/>
    <w:basedOn w:val="Policepardfaut"/>
    <w:link w:val="Explorateurdedocuments"/>
    <w:uiPriority w:val="99"/>
    <w:semiHidden/>
    <w:rsid w:val="00672AC9"/>
    <w:rPr>
      <w:rFonts w:ascii="Tahoma" w:eastAsia="Times New Roman" w:hAnsi="Tahoma" w:cs="Times New Roman"/>
      <w:sz w:val="16"/>
      <w:szCs w:val="16"/>
      <w:lang w:val="x-none" w:eastAsia="x-none"/>
    </w:rPr>
  </w:style>
  <w:style w:type="paragraph" w:customStyle="1" w:styleId="Style20">
    <w:name w:val="Style 2"/>
    <w:basedOn w:val="Normal"/>
    <w:uiPriority w:val="99"/>
    <w:rsid w:val="00672AC9"/>
    <w:pPr>
      <w:widowControl w:val="0"/>
      <w:autoSpaceDE w:val="0"/>
      <w:autoSpaceDN w:val="0"/>
    </w:pPr>
    <w:rPr>
      <w:rFonts w:ascii="Times New Roman" w:eastAsia="Times New Roman" w:hAnsi="Times New Roman"/>
      <w:sz w:val="24"/>
    </w:rPr>
  </w:style>
  <w:style w:type="paragraph" w:styleId="Corpsdetexte3">
    <w:name w:val="Body Text 3"/>
    <w:basedOn w:val="Normal"/>
    <w:link w:val="Corpsdetexte3Car"/>
    <w:uiPriority w:val="99"/>
    <w:semiHidden/>
    <w:unhideWhenUsed/>
    <w:rsid w:val="00672AC9"/>
    <w:pPr>
      <w:spacing w:after="120" w:line="264" w:lineRule="auto"/>
    </w:pPr>
    <w:rPr>
      <w:rFonts w:ascii="Calibri" w:eastAsia="Times New Roman" w:hAnsi="Calibri"/>
      <w:sz w:val="16"/>
      <w:szCs w:val="16"/>
    </w:rPr>
  </w:style>
  <w:style w:type="character" w:customStyle="1" w:styleId="Corpsdetexte3Car">
    <w:name w:val="Corps de texte 3 Car"/>
    <w:basedOn w:val="Policepardfaut"/>
    <w:link w:val="Corpsdetexte3"/>
    <w:uiPriority w:val="99"/>
    <w:semiHidden/>
    <w:rsid w:val="00672AC9"/>
    <w:rPr>
      <w:rFonts w:ascii="Calibri" w:eastAsia="Times New Roman" w:hAnsi="Calibri" w:cs="Times New Roman"/>
      <w:sz w:val="16"/>
      <w:szCs w:val="16"/>
      <w:lang w:eastAsia="fr-FR"/>
    </w:rPr>
  </w:style>
  <w:style w:type="paragraph" w:customStyle="1" w:styleId="TitreDlibration">
    <w:name w:val="Titre Délibération"/>
    <w:basedOn w:val="Normal"/>
    <w:link w:val="TitreDlibrationCar"/>
    <w:qFormat/>
    <w:rsid w:val="00672AC9"/>
    <w:pPr>
      <w:pBdr>
        <w:top w:val="single" w:sz="4" w:space="0" w:color="808080"/>
        <w:left w:val="single" w:sz="4" w:space="4" w:color="808080"/>
        <w:bottom w:val="single" w:sz="4" w:space="1" w:color="808080"/>
        <w:right w:val="single" w:sz="4" w:space="4" w:color="808080"/>
      </w:pBdr>
      <w:shd w:val="clear" w:color="auto" w:fill="595959"/>
      <w:ind w:left="142" w:right="-1"/>
    </w:pPr>
    <w:rPr>
      <w:rFonts w:ascii="Venacti Sb" w:eastAsia="Times New Roman" w:hAnsi="Venacti Sb"/>
      <w:color w:val="FFFFFF"/>
      <w:sz w:val="26"/>
      <w:szCs w:val="26"/>
    </w:rPr>
  </w:style>
  <w:style w:type="paragraph" w:customStyle="1" w:styleId="Pucecorpsdetexte">
    <w:name w:val="Puce corps de texte"/>
    <w:basedOn w:val="Corpsdetexte"/>
    <w:link w:val="PucecorpsdetexteCar"/>
    <w:qFormat/>
    <w:rsid w:val="00672AC9"/>
    <w:pPr>
      <w:numPr>
        <w:numId w:val="4"/>
      </w:numPr>
      <w:ind w:right="-2"/>
    </w:pPr>
    <w:rPr>
      <w:rFonts w:ascii="Calibri" w:hAnsi="Calibri"/>
      <w:szCs w:val="22"/>
      <w:lang w:eastAsia="x-none"/>
    </w:rPr>
  </w:style>
  <w:style w:type="character" w:customStyle="1" w:styleId="TitreDlibrationCar">
    <w:name w:val="Titre Délibération Car"/>
    <w:link w:val="TitreDlibration"/>
    <w:rsid w:val="00672AC9"/>
    <w:rPr>
      <w:rFonts w:ascii="Venacti Sb" w:eastAsia="Times New Roman" w:hAnsi="Venacti Sb" w:cs="Times New Roman"/>
      <w:color w:val="FFFFFF"/>
      <w:sz w:val="26"/>
      <w:szCs w:val="26"/>
      <w:shd w:val="clear" w:color="auto" w:fill="595959"/>
      <w:lang w:eastAsia="fr-FR"/>
    </w:rPr>
  </w:style>
  <w:style w:type="paragraph" w:customStyle="1" w:styleId="Style1">
    <w:name w:val="Style1"/>
    <w:basedOn w:val="Paragraphedeliste"/>
    <w:link w:val="Style1Car"/>
    <w:qFormat/>
    <w:rsid w:val="00672AC9"/>
    <w:pPr>
      <w:spacing w:before="160" w:line="240" w:lineRule="auto"/>
      <w:ind w:left="0"/>
      <w:contextualSpacing w:val="0"/>
      <w:outlineLvl w:val="0"/>
    </w:pPr>
    <w:rPr>
      <w:rFonts w:ascii="Venacti Sb" w:hAnsi="Venacti Sb" w:cs="Calibri"/>
      <w:color w:val="8A8B8D"/>
      <w:sz w:val="36"/>
      <w:szCs w:val="36"/>
    </w:rPr>
  </w:style>
  <w:style w:type="character" w:customStyle="1" w:styleId="PucecorpsdetexteCar">
    <w:name w:val="Puce corps de texte Car"/>
    <w:link w:val="Pucecorpsdetexte"/>
    <w:rsid w:val="00672AC9"/>
    <w:rPr>
      <w:rFonts w:ascii="Calibri" w:eastAsia="Times New Roman" w:hAnsi="Calibri" w:cs="Times New Roman"/>
      <w:lang w:eastAsia="x-none"/>
    </w:rPr>
  </w:style>
  <w:style w:type="character" w:customStyle="1" w:styleId="Style1Car">
    <w:name w:val="Style1 Car"/>
    <w:link w:val="Style1"/>
    <w:rsid w:val="00672AC9"/>
    <w:rPr>
      <w:rFonts w:ascii="Venacti Sb" w:eastAsia="Times New Roman" w:hAnsi="Venacti Sb" w:cs="Calibri"/>
      <w:color w:val="8A8B8D"/>
      <w:sz w:val="36"/>
      <w:szCs w:val="36"/>
      <w:lang w:eastAsia="fr-FR"/>
    </w:rPr>
  </w:style>
  <w:style w:type="paragraph" w:customStyle="1" w:styleId="Style10">
    <w:name w:val="Style 1"/>
    <w:basedOn w:val="Normal"/>
    <w:rsid w:val="00672AC9"/>
    <w:pPr>
      <w:widowControl w:val="0"/>
      <w:autoSpaceDE w:val="0"/>
      <w:autoSpaceDN w:val="0"/>
      <w:adjustRightInd w:val="0"/>
      <w:jc w:val="left"/>
    </w:pPr>
    <w:rPr>
      <w:rFonts w:ascii="Times New Roman" w:eastAsia="Times New Roman" w:hAnsi="Times New Roman"/>
      <w:sz w:val="24"/>
    </w:rPr>
  </w:style>
  <w:style w:type="paragraph" w:customStyle="1" w:styleId="Corpsdetexte220">
    <w:name w:val="Corps de texte 22"/>
    <w:basedOn w:val="Normal"/>
    <w:rsid w:val="00672AC9"/>
    <w:pPr>
      <w:overflowPunct w:val="0"/>
      <w:autoSpaceDE w:val="0"/>
      <w:autoSpaceDN w:val="0"/>
      <w:adjustRightInd w:val="0"/>
      <w:ind w:left="170" w:hanging="170"/>
      <w:textAlignment w:val="baseline"/>
    </w:pPr>
    <w:rPr>
      <w:rFonts w:ascii="Comic Sans MS" w:eastAsia="Times New Roman" w:hAnsi="Comic Sans MS"/>
      <w:sz w:val="20"/>
      <w:szCs w:val="20"/>
    </w:rPr>
  </w:style>
  <w:style w:type="numbering" w:customStyle="1" w:styleId="WW8Num1">
    <w:name w:val="WW8Num1"/>
    <w:rsid w:val="00672AC9"/>
    <w:pPr>
      <w:numPr>
        <w:numId w:val="7"/>
      </w:numPr>
    </w:pPr>
  </w:style>
  <w:style w:type="numbering" w:customStyle="1" w:styleId="WW8Num2">
    <w:name w:val="WW8Num2"/>
    <w:rsid w:val="00672AC9"/>
    <w:pPr>
      <w:numPr>
        <w:numId w:val="5"/>
      </w:numPr>
    </w:pPr>
  </w:style>
  <w:style w:type="numbering" w:customStyle="1" w:styleId="WW8Num3">
    <w:name w:val="WW8Num3"/>
    <w:rsid w:val="00672AC9"/>
    <w:pPr>
      <w:numPr>
        <w:numId w:val="6"/>
      </w:numPr>
    </w:pPr>
  </w:style>
  <w:style w:type="paragraph" w:customStyle="1" w:styleId="SNNature">
    <w:name w:val="SNNature"/>
    <w:basedOn w:val="Normal"/>
    <w:next w:val="Normal"/>
    <w:autoRedefine/>
    <w:rsid w:val="00672AC9"/>
    <w:pPr>
      <w:widowControl w:val="0"/>
      <w:suppressLineNumbers/>
      <w:suppressAutoHyphens/>
      <w:spacing w:after="120"/>
      <w:jc w:val="center"/>
    </w:pPr>
    <w:rPr>
      <w:rFonts w:ascii="Times New Roman" w:eastAsia="Lucida Sans Unicode" w:hAnsi="Times New Roman"/>
      <w:b/>
      <w:bCs/>
      <w:color w:val="244061"/>
      <w:sz w:val="28"/>
      <w:szCs w:val="28"/>
    </w:rPr>
  </w:style>
  <w:style w:type="character" w:customStyle="1" w:styleId="SNArticleCar">
    <w:name w:val="SNArticle Car"/>
    <w:link w:val="SNArticle"/>
    <w:locked/>
    <w:rsid w:val="00672AC9"/>
    <w:rPr>
      <w:rFonts w:ascii="Calibri" w:hAnsi="Calibri"/>
      <w:b/>
      <w:sz w:val="24"/>
      <w:szCs w:val="24"/>
    </w:rPr>
  </w:style>
  <w:style w:type="paragraph" w:customStyle="1" w:styleId="SNArticle">
    <w:name w:val="SNArticle"/>
    <w:basedOn w:val="Normal"/>
    <w:next w:val="Corpsdetexte"/>
    <w:link w:val="SNArticleCar"/>
    <w:autoRedefine/>
    <w:rsid w:val="00672AC9"/>
    <w:pPr>
      <w:jc w:val="center"/>
    </w:pPr>
    <w:rPr>
      <w:rFonts w:ascii="Calibri" w:eastAsiaTheme="minorHAnsi" w:hAnsi="Calibri" w:cstheme="minorBidi"/>
      <w:b/>
      <w:sz w:val="24"/>
      <w:lang w:eastAsia="en-US"/>
    </w:rPr>
  </w:style>
  <w:style w:type="character" w:customStyle="1" w:styleId="Style6Car">
    <w:name w:val="Style6 Car"/>
    <w:link w:val="Style6"/>
    <w:locked/>
    <w:rsid w:val="00672AC9"/>
    <w:rPr>
      <w:rFonts w:ascii="Lucida Sans Unicode" w:eastAsia="Lucida Sans Unicode" w:hAnsi="Lucida Sans Unicode" w:cs="Lucida Sans Unicode"/>
      <w:b/>
      <w:color w:val="244061"/>
      <w:sz w:val="28"/>
      <w:szCs w:val="28"/>
    </w:rPr>
  </w:style>
  <w:style w:type="paragraph" w:customStyle="1" w:styleId="Style6">
    <w:name w:val="Style6"/>
    <w:basedOn w:val="Normal"/>
    <w:link w:val="Style6Car"/>
    <w:qFormat/>
    <w:rsid w:val="00672AC9"/>
    <w:pPr>
      <w:widowControl w:val="0"/>
      <w:suppressLineNumbers/>
      <w:suppressAutoHyphens/>
      <w:spacing w:before="200" w:after="200"/>
      <w:jc w:val="center"/>
    </w:pPr>
    <w:rPr>
      <w:rFonts w:ascii="Lucida Sans Unicode" w:eastAsia="Lucida Sans Unicode" w:hAnsi="Lucida Sans Unicode" w:cs="Lucida Sans Unicode"/>
      <w:b/>
      <w:color w:val="244061"/>
      <w:sz w:val="28"/>
      <w:szCs w:val="28"/>
      <w:lang w:eastAsia="en-US"/>
    </w:rPr>
  </w:style>
  <w:style w:type="character" w:customStyle="1" w:styleId="Style4Car">
    <w:name w:val="Style4 Car"/>
    <w:link w:val="Style4"/>
    <w:locked/>
    <w:rsid w:val="00672AC9"/>
  </w:style>
  <w:style w:type="paragraph" w:customStyle="1" w:styleId="Style4">
    <w:name w:val="Style4"/>
    <w:basedOn w:val="Style1"/>
    <w:link w:val="Style4Car"/>
    <w:qFormat/>
    <w:rsid w:val="00672AC9"/>
    <w:rPr>
      <w:rFonts w:asciiTheme="minorHAnsi" w:eastAsiaTheme="minorHAnsi" w:hAnsiTheme="minorHAnsi" w:cstheme="minorBidi"/>
      <w:color w:val="auto"/>
      <w:sz w:val="22"/>
      <w:szCs w:val="22"/>
      <w:lang w:eastAsia="en-US"/>
    </w:rPr>
  </w:style>
  <w:style w:type="character" w:customStyle="1" w:styleId="Style9Car">
    <w:name w:val="Style9 Car"/>
    <w:link w:val="Style9"/>
    <w:locked/>
    <w:rsid w:val="00672AC9"/>
    <w:rPr>
      <w:sz w:val="24"/>
      <w:szCs w:val="24"/>
    </w:rPr>
  </w:style>
  <w:style w:type="paragraph" w:customStyle="1" w:styleId="Style9">
    <w:name w:val="Style9"/>
    <w:basedOn w:val="Normal"/>
    <w:link w:val="Style9Car"/>
    <w:rsid w:val="00672AC9"/>
    <w:pPr>
      <w:jc w:val="center"/>
    </w:pPr>
    <w:rPr>
      <w:rFonts w:eastAsiaTheme="minorHAnsi" w:cstheme="minorBidi"/>
      <w:sz w:val="24"/>
      <w:lang w:eastAsia="en-US"/>
    </w:rPr>
  </w:style>
  <w:style w:type="character" w:customStyle="1" w:styleId="Style10Car">
    <w:name w:val="Style10 Car"/>
    <w:link w:val="Style100"/>
    <w:locked/>
    <w:rsid w:val="00672AC9"/>
    <w:rPr>
      <w:rFonts w:ascii="Venacti Sb" w:hAnsi="Venacti Sb" w:cs="Calibri"/>
      <w:color w:val="8A8B8D"/>
    </w:rPr>
  </w:style>
  <w:style w:type="paragraph" w:customStyle="1" w:styleId="Style100">
    <w:name w:val="Style10"/>
    <w:basedOn w:val="Style1"/>
    <w:link w:val="Style10Car"/>
    <w:qFormat/>
    <w:rsid w:val="00672AC9"/>
    <w:rPr>
      <w:rFonts w:eastAsiaTheme="minorHAnsi"/>
      <w:sz w:val="22"/>
      <w:szCs w:val="22"/>
      <w:lang w:eastAsia="en-US"/>
    </w:rPr>
  </w:style>
  <w:style w:type="paragraph" w:styleId="Notedebasdepage">
    <w:name w:val="footnote text"/>
    <w:basedOn w:val="Normal"/>
    <w:link w:val="NotedebasdepageCar"/>
    <w:uiPriority w:val="99"/>
    <w:semiHidden/>
    <w:unhideWhenUsed/>
    <w:rsid w:val="00672AC9"/>
    <w:pPr>
      <w:spacing w:line="264" w:lineRule="auto"/>
    </w:pPr>
    <w:rPr>
      <w:rFonts w:ascii="Calibri" w:eastAsia="Times New Roman" w:hAnsi="Calibri"/>
      <w:sz w:val="20"/>
      <w:szCs w:val="20"/>
    </w:rPr>
  </w:style>
  <w:style w:type="character" w:customStyle="1" w:styleId="NotedebasdepageCar">
    <w:name w:val="Note de bas de page Car"/>
    <w:basedOn w:val="Policepardfaut"/>
    <w:link w:val="Notedebasdepage"/>
    <w:uiPriority w:val="99"/>
    <w:semiHidden/>
    <w:rsid w:val="00672AC9"/>
    <w:rPr>
      <w:rFonts w:ascii="Calibri" w:eastAsia="Times New Roman" w:hAnsi="Calibri" w:cs="Times New Roman"/>
      <w:sz w:val="20"/>
      <w:szCs w:val="20"/>
      <w:lang w:eastAsia="fr-FR"/>
    </w:rPr>
  </w:style>
  <w:style w:type="character" w:styleId="Appelnotedebasdep">
    <w:name w:val="footnote reference"/>
    <w:uiPriority w:val="99"/>
    <w:semiHidden/>
    <w:unhideWhenUsed/>
    <w:rsid w:val="00672AC9"/>
    <w:rPr>
      <w:vertAlign w:val="superscript"/>
    </w:rPr>
  </w:style>
  <w:style w:type="table" w:styleId="Listeclaire-Accent2">
    <w:name w:val="Light List Accent 2"/>
    <w:basedOn w:val="TableauNormal"/>
    <w:uiPriority w:val="61"/>
    <w:rsid w:val="00672AC9"/>
    <w:pPr>
      <w:spacing w:after="0" w:line="240" w:lineRule="auto"/>
    </w:pPr>
    <w:rPr>
      <w:rFonts w:ascii="Calibri" w:eastAsia="Calibri" w:hAnsi="Calibri" w:cs="Times New Roman"/>
    </w:rPr>
    <w:tblPr>
      <w:tblStyleRowBandSize w:val="1"/>
      <w:tblStyleColBandSize w:val="1"/>
      <w:tblBorders>
        <w:top w:val="single" w:sz="8" w:space="0" w:color="70C3C6"/>
        <w:left w:val="single" w:sz="8" w:space="0" w:color="70C3C6"/>
        <w:bottom w:val="single" w:sz="8" w:space="0" w:color="70C3C6"/>
        <w:right w:val="single" w:sz="8" w:space="0" w:color="70C3C6"/>
      </w:tblBorders>
    </w:tblPr>
    <w:tblStylePr w:type="firstRow">
      <w:pPr>
        <w:spacing w:before="0" w:after="0" w:line="240" w:lineRule="auto"/>
      </w:pPr>
      <w:rPr>
        <w:b/>
        <w:bCs/>
        <w:color w:val="FFFFFF"/>
      </w:rPr>
      <w:tblPr/>
      <w:tcPr>
        <w:shd w:val="clear" w:color="auto" w:fill="70C3C6"/>
      </w:tcPr>
    </w:tblStylePr>
    <w:tblStylePr w:type="lastRow">
      <w:pPr>
        <w:spacing w:before="0" w:after="0" w:line="240" w:lineRule="auto"/>
      </w:pPr>
      <w:rPr>
        <w:b/>
        <w:bCs/>
      </w:rPr>
      <w:tblPr/>
      <w:tcPr>
        <w:tcBorders>
          <w:top w:val="double" w:sz="6" w:space="0" w:color="70C3C6"/>
          <w:left w:val="single" w:sz="8" w:space="0" w:color="70C3C6"/>
          <w:bottom w:val="single" w:sz="8" w:space="0" w:color="70C3C6"/>
          <w:right w:val="single" w:sz="8" w:space="0" w:color="70C3C6"/>
        </w:tcBorders>
      </w:tcPr>
    </w:tblStylePr>
    <w:tblStylePr w:type="firstCol">
      <w:rPr>
        <w:b/>
        <w:bCs/>
      </w:rPr>
    </w:tblStylePr>
    <w:tblStylePr w:type="lastCol">
      <w:rPr>
        <w:b/>
        <w:bCs/>
      </w:rPr>
    </w:tblStylePr>
    <w:tblStylePr w:type="band1Vert">
      <w:tblPr/>
      <w:tcPr>
        <w:tcBorders>
          <w:top w:val="single" w:sz="8" w:space="0" w:color="70C3C6"/>
          <w:left w:val="single" w:sz="8" w:space="0" w:color="70C3C6"/>
          <w:bottom w:val="single" w:sz="8" w:space="0" w:color="70C3C6"/>
          <w:right w:val="single" w:sz="8" w:space="0" w:color="70C3C6"/>
        </w:tcBorders>
      </w:tcPr>
    </w:tblStylePr>
    <w:tblStylePr w:type="band1Horz">
      <w:tblPr/>
      <w:tcPr>
        <w:tcBorders>
          <w:top w:val="single" w:sz="8" w:space="0" w:color="70C3C6"/>
          <w:left w:val="single" w:sz="8" w:space="0" w:color="70C3C6"/>
          <w:bottom w:val="single" w:sz="8" w:space="0" w:color="70C3C6"/>
          <w:right w:val="single" w:sz="8" w:space="0" w:color="70C3C6"/>
        </w:tcBorders>
      </w:tcPr>
    </w:tblStylePr>
  </w:style>
  <w:style w:type="table" w:styleId="Trameclaire-Accent2">
    <w:name w:val="Light Shading Accent 2"/>
    <w:basedOn w:val="TableauNormal"/>
    <w:uiPriority w:val="60"/>
    <w:rsid w:val="00672AC9"/>
    <w:pPr>
      <w:spacing w:after="0" w:line="240" w:lineRule="auto"/>
    </w:pPr>
    <w:rPr>
      <w:rFonts w:ascii="Calibri" w:eastAsia="Calibri" w:hAnsi="Calibri" w:cs="Times New Roman"/>
      <w:color w:val="42A2A5"/>
    </w:rPr>
    <w:tblPr>
      <w:tblStyleRowBandSize w:val="1"/>
      <w:tblStyleColBandSize w:val="1"/>
      <w:tblBorders>
        <w:top w:val="single" w:sz="8" w:space="0" w:color="70C3C6"/>
        <w:bottom w:val="single" w:sz="8" w:space="0" w:color="70C3C6"/>
      </w:tblBorders>
    </w:tblPr>
    <w:tblStylePr w:type="fir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lastRow">
      <w:pPr>
        <w:spacing w:before="0" w:after="0" w:line="240" w:lineRule="auto"/>
      </w:pPr>
      <w:rPr>
        <w:b/>
        <w:bCs/>
      </w:rPr>
      <w:tblPr/>
      <w:tcPr>
        <w:tcBorders>
          <w:top w:val="single" w:sz="8" w:space="0" w:color="70C3C6"/>
          <w:left w:val="nil"/>
          <w:bottom w:val="single" w:sz="8" w:space="0" w:color="70C3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0"/>
      </w:tcPr>
    </w:tblStylePr>
    <w:tblStylePr w:type="band1Horz">
      <w:tblPr/>
      <w:tcPr>
        <w:tcBorders>
          <w:left w:val="nil"/>
          <w:right w:val="nil"/>
          <w:insideH w:val="nil"/>
          <w:insideV w:val="nil"/>
        </w:tcBorders>
        <w:shd w:val="clear" w:color="auto" w:fill="DBF0F0"/>
      </w:tcPr>
    </w:tblStylePr>
  </w:style>
  <w:style w:type="table" w:styleId="Tramemoyenne1-Accent1">
    <w:name w:val="Medium Shading 1 Accent 1"/>
    <w:basedOn w:val="TableauNormal"/>
    <w:uiPriority w:val="63"/>
    <w:rsid w:val="00672AC9"/>
    <w:pPr>
      <w:spacing w:after="0" w:line="240" w:lineRule="auto"/>
    </w:pPr>
    <w:rPr>
      <w:rFonts w:ascii="Calibri" w:eastAsia="Calibri" w:hAnsi="Calibri" w:cs="Times New Roman"/>
    </w:rPr>
    <w:tblPr>
      <w:tblStyleRowBandSize w:val="1"/>
      <w:tblStyleColBandSize w:val="1"/>
      <w:tblBorders>
        <w:top w:val="single" w:sz="8" w:space="0" w:color="EA7D4F"/>
        <w:left w:val="single" w:sz="8" w:space="0" w:color="EA7D4F"/>
        <w:bottom w:val="single" w:sz="8" w:space="0" w:color="EA7D4F"/>
        <w:right w:val="single" w:sz="8" w:space="0" w:color="EA7D4F"/>
        <w:insideH w:val="single" w:sz="8" w:space="0" w:color="EA7D4F"/>
      </w:tblBorders>
    </w:tblPr>
    <w:tblStylePr w:type="firstRow">
      <w:pPr>
        <w:spacing w:before="0" w:after="0" w:line="240" w:lineRule="auto"/>
      </w:pPr>
      <w:rPr>
        <w:b/>
        <w:bCs/>
        <w:color w:val="FFFFFF"/>
      </w:rPr>
      <w:tblPr/>
      <w:tcPr>
        <w:tcBorders>
          <w:top w:val="single" w:sz="8" w:space="0" w:color="EA7D4F"/>
          <w:left w:val="single" w:sz="8" w:space="0" w:color="EA7D4F"/>
          <w:bottom w:val="single" w:sz="8" w:space="0" w:color="EA7D4F"/>
          <w:right w:val="single" w:sz="8" w:space="0" w:color="EA7D4F"/>
          <w:insideH w:val="nil"/>
          <w:insideV w:val="nil"/>
        </w:tcBorders>
        <w:shd w:val="clear" w:color="auto" w:fill="DF551A"/>
      </w:tcPr>
    </w:tblStylePr>
    <w:tblStylePr w:type="lastRow">
      <w:pPr>
        <w:spacing w:before="0" w:after="0" w:line="240" w:lineRule="auto"/>
      </w:pPr>
      <w:rPr>
        <w:b/>
        <w:bCs/>
      </w:rPr>
      <w:tblPr/>
      <w:tcPr>
        <w:tcBorders>
          <w:top w:val="double" w:sz="6" w:space="0" w:color="EA7D4F"/>
          <w:left w:val="single" w:sz="8" w:space="0" w:color="EA7D4F"/>
          <w:bottom w:val="single" w:sz="8" w:space="0" w:color="EA7D4F"/>
          <w:right w:val="single" w:sz="8" w:space="0" w:color="EA7D4F"/>
          <w:insideH w:val="nil"/>
          <w:insideV w:val="nil"/>
        </w:tcBorders>
      </w:tcPr>
    </w:tblStylePr>
    <w:tblStylePr w:type="firstCol">
      <w:rPr>
        <w:b/>
        <w:bCs/>
      </w:rPr>
    </w:tblStylePr>
    <w:tblStylePr w:type="lastCol">
      <w:rPr>
        <w:b/>
        <w:bCs/>
      </w:rPr>
    </w:tblStylePr>
    <w:tblStylePr w:type="band1Vert">
      <w:tblPr/>
      <w:tcPr>
        <w:shd w:val="clear" w:color="auto" w:fill="F8D4C5"/>
      </w:tcPr>
    </w:tblStylePr>
    <w:tblStylePr w:type="band1Horz">
      <w:tblPr/>
      <w:tcPr>
        <w:tcBorders>
          <w:insideH w:val="nil"/>
          <w:insideV w:val="nil"/>
        </w:tcBorders>
        <w:shd w:val="clear" w:color="auto" w:fill="F8D4C5"/>
      </w:tcPr>
    </w:tblStylePr>
    <w:tblStylePr w:type="band2Horz">
      <w:tblPr/>
      <w:tcPr>
        <w:tcBorders>
          <w:insideH w:val="nil"/>
          <w:insideV w:val="nil"/>
        </w:tcBorders>
      </w:tcPr>
    </w:tblStylePr>
  </w:style>
  <w:style w:type="character" w:styleId="Marquedecommentaire">
    <w:name w:val="annotation reference"/>
    <w:basedOn w:val="Policepardfaut"/>
    <w:uiPriority w:val="99"/>
    <w:semiHidden/>
    <w:unhideWhenUsed/>
    <w:rsid w:val="003E303E"/>
    <w:rPr>
      <w:sz w:val="16"/>
      <w:szCs w:val="16"/>
    </w:rPr>
  </w:style>
  <w:style w:type="paragraph" w:customStyle="1" w:styleId="CM20">
    <w:name w:val="CM20"/>
    <w:basedOn w:val="Normal"/>
    <w:next w:val="Normal"/>
    <w:rsid w:val="00D9235E"/>
    <w:pPr>
      <w:widowControl w:val="0"/>
      <w:overflowPunct w:val="0"/>
      <w:autoSpaceDE w:val="0"/>
      <w:autoSpaceDN w:val="0"/>
      <w:adjustRightInd w:val="0"/>
      <w:spacing w:after="743"/>
      <w:jc w:val="left"/>
      <w:textAlignment w:val="baseline"/>
    </w:pPr>
    <w:rPr>
      <w:rFonts w:ascii="N 1078" w:eastAsia="Times New Roman" w:hAnsi="N 1078"/>
      <w:sz w:val="20"/>
      <w:szCs w:val="20"/>
    </w:rPr>
  </w:style>
  <w:style w:type="paragraph" w:customStyle="1" w:styleId="Retraitcorpsdetexte21">
    <w:name w:val="Retrait corps de texte 21"/>
    <w:basedOn w:val="Normal"/>
    <w:rsid w:val="00D9235E"/>
    <w:pPr>
      <w:overflowPunct w:val="0"/>
      <w:autoSpaceDE w:val="0"/>
      <w:autoSpaceDN w:val="0"/>
      <w:adjustRightInd w:val="0"/>
      <w:ind w:firstLine="851"/>
      <w:textAlignment w:val="baseline"/>
    </w:pPr>
    <w:rPr>
      <w:rFonts w:ascii="Arial" w:eastAsia="Times New Roman" w:hAnsi="Arial"/>
      <w:sz w:val="20"/>
      <w:szCs w:val="20"/>
    </w:rPr>
  </w:style>
  <w:style w:type="paragraph" w:customStyle="1" w:styleId="isoblockposition-left">
    <w:name w:val="isoblockposition-left"/>
    <w:basedOn w:val="Normal"/>
    <w:rsid w:val="00D9235E"/>
    <w:pPr>
      <w:spacing w:before="100" w:beforeAutospacing="1" w:after="100" w:afterAutospacing="1"/>
      <w:jc w:val="left"/>
    </w:pPr>
    <w:rPr>
      <w:rFonts w:ascii="Times New Roman" w:eastAsia="Times New Roman" w:hAnsi="Times New Roman"/>
      <w:sz w:val="24"/>
    </w:rPr>
  </w:style>
  <w:style w:type="table" w:styleId="Listeclaire-Accent1">
    <w:name w:val="Light List Accent 1"/>
    <w:basedOn w:val="TableauNormal"/>
    <w:uiPriority w:val="61"/>
    <w:rsid w:val="00815A56"/>
    <w:pPr>
      <w:spacing w:after="0" w:line="240" w:lineRule="auto"/>
    </w:pPr>
    <w:tblPr>
      <w:tblStyleRowBandSize w:val="1"/>
      <w:tblStyleColBandSize w:val="1"/>
      <w:tblInd w:w="0" w:type="nil"/>
      <w:tblBorders>
        <w:top w:val="single" w:sz="8" w:space="0" w:color="DF551A" w:themeColor="accent1"/>
        <w:left w:val="single" w:sz="8" w:space="0" w:color="DF551A" w:themeColor="accent1"/>
        <w:bottom w:val="single" w:sz="8" w:space="0" w:color="DF551A" w:themeColor="accent1"/>
        <w:right w:val="single" w:sz="8" w:space="0" w:color="DF551A"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DF551A" w:themeFill="accent1"/>
      </w:tcPr>
    </w:tblStylePr>
    <w:tblStylePr w:type="lastRow">
      <w:pPr>
        <w:spacing w:beforeLines="0" w:before="0" w:beforeAutospacing="0" w:afterLines="0" w:after="0" w:afterAutospacing="0" w:line="240" w:lineRule="auto"/>
      </w:pPr>
      <w:rPr>
        <w:b/>
        <w:bCs/>
      </w:rPr>
      <w:tblPr/>
      <w:tcPr>
        <w:tcBorders>
          <w:top w:val="double" w:sz="6" w:space="0" w:color="DF551A" w:themeColor="accent1"/>
          <w:left w:val="single" w:sz="8" w:space="0" w:color="DF551A" w:themeColor="accent1"/>
          <w:bottom w:val="single" w:sz="8" w:space="0" w:color="DF551A" w:themeColor="accent1"/>
          <w:right w:val="single" w:sz="8" w:space="0" w:color="DF551A" w:themeColor="accent1"/>
        </w:tcBorders>
      </w:tcPr>
    </w:tblStylePr>
    <w:tblStylePr w:type="firstCol">
      <w:rPr>
        <w:b/>
        <w:bCs/>
      </w:rPr>
    </w:tblStylePr>
    <w:tblStylePr w:type="lastCol">
      <w:rPr>
        <w:b/>
        <w:bCs/>
      </w:rPr>
    </w:tblStylePr>
    <w:tblStylePr w:type="band1Vert">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tblStylePr w:type="band1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style>
  <w:style w:type="table" w:customStyle="1" w:styleId="GridTable4Accent3">
    <w:name w:val="Grid Table 4 Accent 3"/>
    <w:basedOn w:val="TableauNormal"/>
    <w:uiPriority w:val="49"/>
    <w:rsid w:val="00526B42"/>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DDE678" w:themeColor="accent3" w:themeTint="99"/>
        <w:left w:val="single" w:sz="4" w:space="0" w:color="DDE678" w:themeColor="accent3" w:themeTint="99"/>
        <w:bottom w:val="single" w:sz="4" w:space="0" w:color="DDE678" w:themeColor="accent3" w:themeTint="99"/>
        <w:right w:val="single" w:sz="4" w:space="0" w:color="DDE678" w:themeColor="accent3" w:themeTint="99"/>
        <w:insideH w:val="single" w:sz="4" w:space="0" w:color="DDE678" w:themeColor="accent3" w:themeTint="99"/>
        <w:insideV w:val="single" w:sz="4" w:space="0" w:color="DDE678" w:themeColor="accent3" w:themeTint="99"/>
      </w:tblBorders>
    </w:tblPr>
    <w:tblStylePr w:type="firstRow">
      <w:rPr>
        <w:b/>
        <w:bCs/>
        <w:color w:val="FFFFFF" w:themeColor="background1"/>
      </w:rPr>
      <w:tblPr/>
      <w:tcPr>
        <w:tcBorders>
          <w:top w:val="single" w:sz="4" w:space="0" w:color="C2D026" w:themeColor="accent3"/>
          <w:left w:val="single" w:sz="4" w:space="0" w:color="C2D026" w:themeColor="accent3"/>
          <w:bottom w:val="single" w:sz="4" w:space="0" w:color="C2D026" w:themeColor="accent3"/>
          <w:right w:val="single" w:sz="4" w:space="0" w:color="C2D026" w:themeColor="accent3"/>
          <w:insideH w:val="nil"/>
          <w:insideV w:val="nil"/>
        </w:tcBorders>
        <w:shd w:val="clear" w:color="auto" w:fill="C2D026" w:themeFill="accent3"/>
      </w:tcPr>
    </w:tblStylePr>
    <w:tblStylePr w:type="lastRow">
      <w:rPr>
        <w:b/>
        <w:bCs/>
      </w:rPr>
      <w:tblPr/>
      <w:tcPr>
        <w:tcBorders>
          <w:top w:val="double" w:sz="4" w:space="0" w:color="C2D026" w:themeColor="accent3"/>
        </w:tcBorders>
      </w:tcPr>
    </w:tblStylePr>
    <w:tblStylePr w:type="firstCol">
      <w:rPr>
        <w:b/>
        <w:bCs/>
      </w:rPr>
    </w:tblStylePr>
    <w:tblStylePr w:type="lastCol">
      <w:rPr>
        <w:b/>
        <w:bCs/>
      </w:rPr>
    </w:tblStylePr>
    <w:tblStylePr w:type="band1Vert">
      <w:tblPr/>
      <w:tcPr>
        <w:shd w:val="clear" w:color="auto" w:fill="F3F6D2" w:themeFill="accent3" w:themeFillTint="33"/>
      </w:tcPr>
    </w:tblStylePr>
    <w:tblStylePr w:type="band1Horz">
      <w:tblPr/>
      <w:tcPr>
        <w:shd w:val="clear" w:color="auto" w:fill="F3F6D2" w:themeFill="accent3" w:themeFillTint="33"/>
      </w:tcPr>
    </w:tblStylePr>
  </w:style>
  <w:style w:type="paragraph" w:customStyle="1" w:styleId="AOPPARAGRAPHE">
    <w:name w:val="AOP PARAGRAPHE"/>
    <w:basedOn w:val="Corpsdetexte3"/>
    <w:link w:val="AOPPARAGRAPHECar"/>
    <w:autoRedefine/>
    <w:qFormat/>
    <w:rsid w:val="00526B42"/>
    <w:pPr>
      <w:tabs>
        <w:tab w:val="left" w:pos="-1843"/>
        <w:tab w:val="left" w:pos="0"/>
        <w:tab w:val="left" w:pos="284"/>
      </w:tabs>
      <w:spacing w:before="180" w:after="0" w:line="280" w:lineRule="atLeast"/>
    </w:pPr>
    <w:rPr>
      <w:rFonts w:eastAsia="Calibri"/>
    </w:rPr>
  </w:style>
  <w:style w:type="character" w:customStyle="1" w:styleId="AOPPARAGRAPHECar">
    <w:name w:val="AOP PARAGRAPHE Car"/>
    <w:basedOn w:val="Corpsdetexte3Car"/>
    <w:link w:val="AOPPARAGRAPHE"/>
    <w:rsid w:val="00526B42"/>
    <w:rPr>
      <w:rFonts w:ascii="Calibri" w:eastAsia="Calibri" w:hAnsi="Calibri" w:cs="Times New Roman"/>
      <w:sz w:val="16"/>
      <w:szCs w:val="16"/>
      <w:lang w:eastAsia="fr-FR"/>
    </w:rPr>
  </w:style>
  <w:style w:type="paragraph" w:customStyle="1" w:styleId="Style2">
    <w:name w:val="Style2"/>
    <w:basedOn w:val="Normal"/>
    <w:autoRedefine/>
    <w:qFormat/>
    <w:rsid w:val="00526B42"/>
    <w:pPr>
      <w:numPr>
        <w:numId w:val="11"/>
      </w:numPr>
      <w:spacing w:before="80" w:line="280" w:lineRule="exact"/>
    </w:pPr>
    <w:rPr>
      <w:rFonts w:eastAsia="Times New Roman" w:cstheme="minorHAnsi"/>
      <w:szCs w:val="20"/>
    </w:rPr>
  </w:style>
  <w:style w:type="table" w:styleId="Grilleclaire-Accent1">
    <w:name w:val="Light Grid Accent 1"/>
    <w:basedOn w:val="TableauNormal"/>
    <w:uiPriority w:val="62"/>
    <w:rsid w:val="00E31C15"/>
    <w:pPr>
      <w:spacing w:after="0" w:line="240" w:lineRule="auto"/>
    </w:pPr>
    <w:tblPr>
      <w:tblStyleRowBandSize w:val="1"/>
      <w:tblStyleColBandSize w:val="1"/>
      <w:tblBorders>
        <w:top w:val="single" w:sz="8" w:space="0" w:color="DF551A" w:themeColor="accent1"/>
        <w:left w:val="single" w:sz="8" w:space="0" w:color="DF551A" w:themeColor="accent1"/>
        <w:bottom w:val="single" w:sz="8" w:space="0" w:color="DF551A" w:themeColor="accent1"/>
        <w:right w:val="single" w:sz="8" w:space="0" w:color="DF551A" w:themeColor="accent1"/>
        <w:insideH w:val="single" w:sz="8" w:space="0" w:color="DF551A" w:themeColor="accent1"/>
        <w:insideV w:val="single" w:sz="8" w:space="0" w:color="DF551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F551A" w:themeColor="accent1"/>
          <w:left w:val="single" w:sz="8" w:space="0" w:color="DF551A" w:themeColor="accent1"/>
          <w:bottom w:val="single" w:sz="18" w:space="0" w:color="DF551A" w:themeColor="accent1"/>
          <w:right w:val="single" w:sz="8" w:space="0" w:color="DF551A" w:themeColor="accent1"/>
          <w:insideH w:val="nil"/>
          <w:insideV w:val="single" w:sz="8" w:space="0" w:color="DF551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F551A" w:themeColor="accent1"/>
          <w:left w:val="single" w:sz="8" w:space="0" w:color="DF551A" w:themeColor="accent1"/>
          <w:bottom w:val="single" w:sz="8" w:space="0" w:color="DF551A" w:themeColor="accent1"/>
          <w:right w:val="single" w:sz="8" w:space="0" w:color="DF551A" w:themeColor="accent1"/>
          <w:insideH w:val="nil"/>
          <w:insideV w:val="single" w:sz="8" w:space="0" w:color="DF551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tcPr>
    </w:tblStylePr>
    <w:tblStylePr w:type="band1Vert">
      <w:tblPr/>
      <w:tcPr>
        <w:tcBorders>
          <w:top w:val="single" w:sz="8" w:space="0" w:color="DF551A" w:themeColor="accent1"/>
          <w:left w:val="single" w:sz="8" w:space="0" w:color="DF551A" w:themeColor="accent1"/>
          <w:bottom w:val="single" w:sz="8" w:space="0" w:color="DF551A" w:themeColor="accent1"/>
          <w:right w:val="single" w:sz="8" w:space="0" w:color="DF551A" w:themeColor="accent1"/>
        </w:tcBorders>
        <w:shd w:val="clear" w:color="auto" w:fill="F8D4C5" w:themeFill="accent1" w:themeFillTint="3F"/>
      </w:tcPr>
    </w:tblStylePr>
    <w:tblStylePr w:type="band1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insideV w:val="single" w:sz="8" w:space="0" w:color="DF551A" w:themeColor="accent1"/>
        </w:tcBorders>
        <w:shd w:val="clear" w:color="auto" w:fill="F8D4C5" w:themeFill="accent1" w:themeFillTint="3F"/>
      </w:tcPr>
    </w:tblStylePr>
    <w:tblStylePr w:type="band2Horz">
      <w:tblPr/>
      <w:tcPr>
        <w:tcBorders>
          <w:top w:val="single" w:sz="8" w:space="0" w:color="DF551A" w:themeColor="accent1"/>
          <w:left w:val="single" w:sz="8" w:space="0" w:color="DF551A" w:themeColor="accent1"/>
          <w:bottom w:val="single" w:sz="8" w:space="0" w:color="DF551A" w:themeColor="accent1"/>
          <w:right w:val="single" w:sz="8" w:space="0" w:color="DF551A" w:themeColor="accent1"/>
          <w:insideV w:val="single" w:sz="8" w:space="0" w:color="DF551A" w:themeColor="accent1"/>
        </w:tcBorders>
      </w:tcPr>
    </w:tblStylePr>
  </w:style>
  <w:style w:type="paragraph" w:customStyle="1" w:styleId="Default">
    <w:name w:val="Default"/>
    <w:rsid w:val="00AD3F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7272">
      <w:bodyDiv w:val="1"/>
      <w:marLeft w:val="0"/>
      <w:marRight w:val="0"/>
      <w:marTop w:val="0"/>
      <w:marBottom w:val="0"/>
      <w:divBdr>
        <w:top w:val="none" w:sz="0" w:space="0" w:color="auto"/>
        <w:left w:val="none" w:sz="0" w:space="0" w:color="auto"/>
        <w:bottom w:val="none" w:sz="0" w:space="0" w:color="auto"/>
        <w:right w:val="none" w:sz="0" w:space="0" w:color="auto"/>
      </w:divBdr>
    </w:div>
    <w:div w:id="15472555">
      <w:bodyDiv w:val="1"/>
      <w:marLeft w:val="0"/>
      <w:marRight w:val="0"/>
      <w:marTop w:val="0"/>
      <w:marBottom w:val="0"/>
      <w:divBdr>
        <w:top w:val="none" w:sz="0" w:space="0" w:color="auto"/>
        <w:left w:val="none" w:sz="0" w:space="0" w:color="auto"/>
        <w:bottom w:val="none" w:sz="0" w:space="0" w:color="auto"/>
        <w:right w:val="none" w:sz="0" w:space="0" w:color="auto"/>
      </w:divBdr>
    </w:div>
    <w:div w:id="57899205">
      <w:bodyDiv w:val="1"/>
      <w:marLeft w:val="0"/>
      <w:marRight w:val="0"/>
      <w:marTop w:val="0"/>
      <w:marBottom w:val="0"/>
      <w:divBdr>
        <w:top w:val="none" w:sz="0" w:space="0" w:color="auto"/>
        <w:left w:val="none" w:sz="0" w:space="0" w:color="auto"/>
        <w:bottom w:val="none" w:sz="0" w:space="0" w:color="auto"/>
        <w:right w:val="none" w:sz="0" w:space="0" w:color="auto"/>
      </w:divBdr>
    </w:div>
    <w:div w:id="78214136">
      <w:bodyDiv w:val="1"/>
      <w:marLeft w:val="0"/>
      <w:marRight w:val="0"/>
      <w:marTop w:val="0"/>
      <w:marBottom w:val="0"/>
      <w:divBdr>
        <w:top w:val="none" w:sz="0" w:space="0" w:color="auto"/>
        <w:left w:val="none" w:sz="0" w:space="0" w:color="auto"/>
        <w:bottom w:val="none" w:sz="0" w:space="0" w:color="auto"/>
        <w:right w:val="none" w:sz="0" w:space="0" w:color="auto"/>
      </w:divBdr>
    </w:div>
    <w:div w:id="85734767">
      <w:bodyDiv w:val="1"/>
      <w:marLeft w:val="0"/>
      <w:marRight w:val="0"/>
      <w:marTop w:val="0"/>
      <w:marBottom w:val="0"/>
      <w:divBdr>
        <w:top w:val="none" w:sz="0" w:space="0" w:color="auto"/>
        <w:left w:val="none" w:sz="0" w:space="0" w:color="auto"/>
        <w:bottom w:val="none" w:sz="0" w:space="0" w:color="auto"/>
        <w:right w:val="none" w:sz="0" w:space="0" w:color="auto"/>
      </w:divBdr>
    </w:div>
    <w:div w:id="152112493">
      <w:bodyDiv w:val="1"/>
      <w:marLeft w:val="0"/>
      <w:marRight w:val="0"/>
      <w:marTop w:val="0"/>
      <w:marBottom w:val="0"/>
      <w:divBdr>
        <w:top w:val="none" w:sz="0" w:space="0" w:color="auto"/>
        <w:left w:val="none" w:sz="0" w:space="0" w:color="auto"/>
        <w:bottom w:val="none" w:sz="0" w:space="0" w:color="auto"/>
        <w:right w:val="none" w:sz="0" w:space="0" w:color="auto"/>
      </w:divBdr>
    </w:div>
    <w:div w:id="178281264">
      <w:bodyDiv w:val="1"/>
      <w:marLeft w:val="0"/>
      <w:marRight w:val="0"/>
      <w:marTop w:val="0"/>
      <w:marBottom w:val="0"/>
      <w:divBdr>
        <w:top w:val="none" w:sz="0" w:space="0" w:color="auto"/>
        <w:left w:val="none" w:sz="0" w:space="0" w:color="auto"/>
        <w:bottom w:val="none" w:sz="0" w:space="0" w:color="auto"/>
        <w:right w:val="none" w:sz="0" w:space="0" w:color="auto"/>
      </w:divBdr>
    </w:div>
    <w:div w:id="188224346">
      <w:bodyDiv w:val="1"/>
      <w:marLeft w:val="0"/>
      <w:marRight w:val="0"/>
      <w:marTop w:val="0"/>
      <w:marBottom w:val="0"/>
      <w:divBdr>
        <w:top w:val="none" w:sz="0" w:space="0" w:color="auto"/>
        <w:left w:val="none" w:sz="0" w:space="0" w:color="auto"/>
        <w:bottom w:val="none" w:sz="0" w:space="0" w:color="auto"/>
        <w:right w:val="none" w:sz="0" w:space="0" w:color="auto"/>
      </w:divBdr>
    </w:div>
    <w:div w:id="223106882">
      <w:bodyDiv w:val="1"/>
      <w:marLeft w:val="0"/>
      <w:marRight w:val="0"/>
      <w:marTop w:val="0"/>
      <w:marBottom w:val="0"/>
      <w:divBdr>
        <w:top w:val="none" w:sz="0" w:space="0" w:color="auto"/>
        <w:left w:val="none" w:sz="0" w:space="0" w:color="auto"/>
        <w:bottom w:val="none" w:sz="0" w:space="0" w:color="auto"/>
        <w:right w:val="none" w:sz="0" w:space="0" w:color="auto"/>
      </w:divBdr>
    </w:div>
    <w:div w:id="233710585">
      <w:bodyDiv w:val="1"/>
      <w:marLeft w:val="0"/>
      <w:marRight w:val="0"/>
      <w:marTop w:val="0"/>
      <w:marBottom w:val="0"/>
      <w:divBdr>
        <w:top w:val="none" w:sz="0" w:space="0" w:color="auto"/>
        <w:left w:val="none" w:sz="0" w:space="0" w:color="auto"/>
        <w:bottom w:val="none" w:sz="0" w:space="0" w:color="auto"/>
        <w:right w:val="none" w:sz="0" w:space="0" w:color="auto"/>
      </w:divBdr>
      <w:divsChild>
        <w:div w:id="54202947">
          <w:marLeft w:val="446"/>
          <w:marRight w:val="0"/>
          <w:marTop w:val="0"/>
          <w:marBottom w:val="0"/>
          <w:divBdr>
            <w:top w:val="none" w:sz="0" w:space="0" w:color="auto"/>
            <w:left w:val="none" w:sz="0" w:space="0" w:color="auto"/>
            <w:bottom w:val="none" w:sz="0" w:space="0" w:color="auto"/>
            <w:right w:val="none" w:sz="0" w:space="0" w:color="auto"/>
          </w:divBdr>
        </w:div>
        <w:div w:id="2032609416">
          <w:marLeft w:val="1166"/>
          <w:marRight w:val="0"/>
          <w:marTop w:val="0"/>
          <w:marBottom w:val="0"/>
          <w:divBdr>
            <w:top w:val="none" w:sz="0" w:space="0" w:color="auto"/>
            <w:left w:val="none" w:sz="0" w:space="0" w:color="auto"/>
            <w:bottom w:val="none" w:sz="0" w:space="0" w:color="auto"/>
            <w:right w:val="none" w:sz="0" w:space="0" w:color="auto"/>
          </w:divBdr>
        </w:div>
        <w:div w:id="1620722191">
          <w:marLeft w:val="1166"/>
          <w:marRight w:val="0"/>
          <w:marTop w:val="0"/>
          <w:marBottom w:val="0"/>
          <w:divBdr>
            <w:top w:val="none" w:sz="0" w:space="0" w:color="auto"/>
            <w:left w:val="none" w:sz="0" w:space="0" w:color="auto"/>
            <w:bottom w:val="none" w:sz="0" w:space="0" w:color="auto"/>
            <w:right w:val="none" w:sz="0" w:space="0" w:color="auto"/>
          </w:divBdr>
        </w:div>
        <w:div w:id="1061053501">
          <w:marLeft w:val="1166"/>
          <w:marRight w:val="0"/>
          <w:marTop w:val="0"/>
          <w:marBottom w:val="0"/>
          <w:divBdr>
            <w:top w:val="none" w:sz="0" w:space="0" w:color="auto"/>
            <w:left w:val="none" w:sz="0" w:space="0" w:color="auto"/>
            <w:bottom w:val="none" w:sz="0" w:space="0" w:color="auto"/>
            <w:right w:val="none" w:sz="0" w:space="0" w:color="auto"/>
          </w:divBdr>
        </w:div>
      </w:divsChild>
    </w:div>
    <w:div w:id="253366602">
      <w:bodyDiv w:val="1"/>
      <w:marLeft w:val="0"/>
      <w:marRight w:val="0"/>
      <w:marTop w:val="0"/>
      <w:marBottom w:val="0"/>
      <w:divBdr>
        <w:top w:val="none" w:sz="0" w:space="0" w:color="auto"/>
        <w:left w:val="none" w:sz="0" w:space="0" w:color="auto"/>
        <w:bottom w:val="none" w:sz="0" w:space="0" w:color="auto"/>
        <w:right w:val="none" w:sz="0" w:space="0" w:color="auto"/>
      </w:divBdr>
    </w:div>
    <w:div w:id="278344043">
      <w:bodyDiv w:val="1"/>
      <w:marLeft w:val="0"/>
      <w:marRight w:val="0"/>
      <w:marTop w:val="0"/>
      <w:marBottom w:val="0"/>
      <w:divBdr>
        <w:top w:val="none" w:sz="0" w:space="0" w:color="auto"/>
        <w:left w:val="none" w:sz="0" w:space="0" w:color="auto"/>
        <w:bottom w:val="none" w:sz="0" w:space="0" w:color="auto"/>
        <w:right w:val="none" w:sz="0" w:space="0" w:color="auto"/>
      </w:divBdr>
    </w:div>
    <w:div w:id="343090725">
      <w:bodyDiv w:val="1"/>
      <w:marLeft w:val="0"/>
      <w:marRight w:val="0"/>
      <w:marTop w:val="0"/>
      <w:marBottom w:val="0"/>
      <w:divBdr>
        <w:top w:val="none" w:sz="0" w:space="0" w:color="auto"/>
        <w:left w:val="none" w:sz="0" w:space="0" w:color="auto"/>
        <w:bottom w:val="none" w:sz="0" w:space="0" w:color="auto"/>
        <w:right w:val="none" w:sz="0" w:space="0" w:color="auto"/>
      </w:divBdr>
    </w:div>
    <w:div w:id="376778978">
      <w:bodyDiv w:val="1"/>
      <w:marLeft w:val="0"/>
      <w:marRight w:val="0"/>
      <w:marTop w:val="0"/>
      <w:marBottom w:val="0"/>
      <w:divBdr>
        <w:top w:val="none" w:sz="0" w:space="0" w:color="auto"/>
        <w:left w:val="none" w:sz="0" w:space="0" w:color="auto"/>
        <w:bottom w:val="none" w:sz="0" w:space="0" w:color="auto"/>
        <w:right w:val="none" w:sz="0" w:space="0" w:color="auto"/>
      </w:divBdr>
      <w:divsChild>
        <w:div w:id="2051149152">
          <w:marLeft w:val="446"/>
          <w:marRight w:val="0"/>
          <w:marTop w:val="0"/>
          <w:marBottom w:val="0"/>
          <w:divBdr>
            <w:top w:val="none" w:sz="0" w:space="0" w:color="auto"/>
            <w:left w:val="none" w:sz="0" w:space="0" w:color="auto"/>
            <w:bottom w:val="none" w:sz="0" w:space="0" w:color="auto"/>
            <w:right w:val="none" w:sz="0" w:space="0" w:color="auto"/>
          </w:divBdr>
        </w:div>
        <w:div w:id="2017078594">
          <w:marLeft w:val="1166"/>
          <w:marRight w:val="0"/>
          <w:marTop w:val="0"/>
          <w:marBottom w:val="0"/>
          <w:divBdr>
            <w:top w:val="none" w:sz="0" w:space="0" w:color="auto"/>
            <w:left w:val="none" w:sz="0" w:space="0" w:color="auto"/>
            <w:bottom w:val="none" w:sz="0" w:space="0" w:color="auto"/>
            <w:right w:val="none" w:sz="0" w:space="0" w:color="auto"/>
          </w:divBdr>
        </w:div>
        <w:div w:id="1904829118">
          <w:marLeft w:val="1166"/>
          <w:marRight w:val="0"/>
          <w:marTop w:val="0"/>
          <w:marBottom w:val="0"/>
          <w:divBdr>
            <w:top w:val="none" w:sz="0" w:space="0" w:color="auto"/>
            <w:left w:val="none" w:sz="0" w:space="0" w:color="auto"/>
            <w:bottom w:val="none" w:sz="0" w:space="0" w:color="auto"/>
            <w:right w:val="none" w:sz="0" w:space="0" w:color="auto"/>
          </w:divBdr>
        </w:div>
        <w:div w:id="2012178473">
          <w:marLeft w:val="1166"/>
          <w:marRight w:val="0"/>
          <w:marTop w:val="0"/>
          <w:marBottom w:val="0"/>
          <w:divBdr>
            <w:top w:val="none" w:sz="0" w:space="0" w:color="auto"/>
            <w:left w:val="none" w:sz="0" w:space="0" w:color="auto"/>
            <w:bottom w:val="none" w:sz="0" w:space="0" w:color="auto"/>
            <w:right w:val="none" w:sz="0" w:space="0" w:color="auto"/>
          </w:divBdr>
        </w:div>
        <w:div w:id="1637683238">
          <w:marLeft w:val="1166"/>
          <w:marRight w:val="0"/>
          <w:marTop w:val="0"/>
          <w:marBottom w:val="0"/>
          <w:divBdr>
            <w:top w:val="none" w:sz="0" w:space="0" w:color="auto"/>
            <w:left w:val="none" w:sz="0" w:space="0" w:color="auto"/>
            <w:bottom w:val="none" w:sz="0" w:space="0" w:color="auto"/>
            <w:right w:val="none" w:sz="0" w:space="0" w:color="auto"/>
          </w:divBdr>
        </w:div>
      </w:divsChild>
    </w:div>
    <w:div w:id="387071834">
      <w:bodyDiv w:val="1"/>
      <w:marLeft w:val="0"/>
      <w:marRight w:val="0"/>
      <w:marTop w:val="0"/>
      <w:marBottom w:val="0"/>
      <w:divBdr>
        <w:top w:val="none" w:sz="0" w:space="0" w:color="auto"/>
        <w:left w:val="none" w:sz="0" w:space="0" w:color="auto"/>
        <w:bottom w:val="none" w:sz="0" w:space="0" w:color="auto"/>
        <w:right w:val="none" w:sz="0" w:space="0" w:color="auto"/>
      </w:divBdr>
    </w:div>
    <w:div w:id="394399404">
      <w:bodyDiv w:val="1"/>
      <w:marLeft w:val="0"/>
      <w:marRight w:val="0"/>
      <w:marTop w:val="0"/>
      <w:marBottom w:val="0"/>
      <w:divBdr>
        <w:top w:val="none" w:sz="0" w:space="0" w:color="auto"/>
        <w:left w:val="none" w:sz="0" w:space="0" w:color="auto"/>
        <w:bottom w:val="none" w:sz="0" w:space="0" w:color="auto"/>
        <w:right w:val="none" w:sz="0" w:space="0" w:color="auto"/>
      </w:divBdr>
    </w:div>
    <w:div w:id="560023432">
      <w:bodyDiv w:val="1"/>
      <w:marLeft w:val="0"/>
      <w:marRight w:val="0"/>
      <w:marTop w:val="0"/>
      <w:marBottom w:val="0"/>
      <w:divBdr>
        <w:top w:val="none" w:sz="0" w:space="0" w:color="auto"/>
        <w:left w:val="none" w:sz="0" w:space="0" w:color="auto"/>
        <w:bottom w:val="none" w:sz="0" w:space="0" w:color="auto"/>
        <w:right w:val="none" w:sz="0" w:space="0" w:color="auto"/>
      </w:divBdr>
    </w:div>
    <w:div w:id="562061294">
      <w:bodyDiv w:val="1"/>
      <w:marLeft w:val="0"/>
      <w:marRight w:val="0"/>
      <w:marTop w:val="0"/>
      <w:marBottom w:val="0"/>
      <w:divBdr>
        <w:top w:val="none" w:sz="0" w:space="0" w:color="auto"/>
        <w:left w:val="none" w:sz="0" w:space="0" w:color="auto"/>
        <w:bottom w:val="none" w:sz="0" w:space="0" w:color="auto"/>
        <w:right w:val="none" w:sz="0" w:space="0" w:color="auto"/>
      </w:divBdr>
    </w:div>
    <w:div w:id="660230940">
      <w:bodyDiv w:val="1"/>
      <w:marLeft w:val="0"/>
      <w:marRight w:val="0"/>
      <w:marTop w:val="0"/>
      <w:marBottom w:val="0"/>
      <w:divBdr>
        <w:top w:val="none" w:sz="0" w:space="0" w:color="auto"/>
        <w:left w:val="none" w:sz="0" w:space="0" w:color="auto"/>
        <w:bottom w:val="none" w:sz="0" w:space="0" w:color="auto"/>
        <w:right w:val="none" w:sz="0" w:space="0" w:color="auto"/>
      </w:divBdr>
    </w:div>
    <w:div w:id="664473018">
      <w:bodyDiv w:val="1"/>
      <w:marLeft w:val="0"/>
      <w:marRight w:val="0"/>
      <w:marTop w:val="0"/>
      <w:marBottom w:val="0"/>
      <w:divBdr>
        <w:top w:val="none" w:sz="0" w:space="0" w:color="auto"/>
        <w:left w:val="none" w:sz="0" w:space="0" w:color="auto"/>
        <w:bottom w:val="none" w:sz="0" w:space="0" w:color="auto"/>
        <w:right w:val="none" w:sz="0" w:space="0" w:color="auto"/>
      </w:divBdr>
    </w:div>
    <w:div w:id="669068517">
      <w:bodyDiv w:val="1"/>
      <w:marLeft w:val="0"/>
      <w:marRight w:val="0"/>
      <w:marTop w:val="0"/>
      <w:marBottom w:val="0"/>
      <w:divBdr>
        <w:top w:val="none" w:sz="0" w:space="0" w:color="auto"/>
        <w:left w:val="none" w:sz="0" w:space="0" w:color="auto"/>
        <w:bottom w:val="none" w:sz="0" w:space="0" w:color="auto"/>
        <w:right w:val="none" w:sz="0" w:space="0" w:color="auto"/>
      </w:divBdr>
    </w:div>
    <w:div w:id="693309379">
      <w:bodyDiv w:val="1"/>
      <w:marLeft w:val="0"/>
      <w:marRight w:val="0"/>
      <w:marTop w:val="0"/>
      <w:marBottom w:val="0"/>
      <w:divBdr>
        <w:top w:val="none" w:sz="0" w:space="0" w:color="auto"/>
        <w:left w:val="none" w:sz="0" w:space="0" w:color="auto"/>
        <w:bottom w:val="none" w:sz="0" w:space="0" w:color="auto"/>
        <w:right w:val="none" w:sz="0" w:space="0" w:color="auto"/>
      </w:divBdr>
    </w:div>
    <w:div w:id="736512039">
      <w:bodyDiv w:val="1"/>
      <w:marLeft w:val="0"/>
      <w:marRight w:val="0"/>
      <w:marTop w:val="0"/>
      <w:marBottom w:val="0"/>
      <w:divBdr>
        <w:top w:val="none" w:sz="0" w:space="0" w:color="auto"/>
        <w:left w:val="none" w:sz="0" w:space="0" w:color="auto"/>
        <w:bottom w:val="none" w:sz="0" w:space="0" w:color="auto"/>
        <w:right w:val="none" w:sz="0" w:space="0" w:color="auto"/>
      </w:divBdr>
    </w:div>
    <w:div w:id="819537438">
      <w:bodyDiv w:val="1"/>
      <w:marLeft w:val="0"/>
      <w:marRight w:val="0"/>
      <w:marTop w:val="0"/>
      <w:marBottom w:val="0"/>
      <w:divBdr>
        <w:top w:val="none" w:sz="0" w:space="0" w:color="auto"/>
        <w:left w:val="none" w:sz="0" w:space="0" w:color="auto"/>
        <w:bottom w:val="none" w:sz="0" w:space="0" w:color="auto"/>
        <w:right w:val="none" w:sz="0" w:space="0" w:color="auto"/>
      </w:divBdr>
    </w:div>
    <w:div w:id="819616811">
      <w:bodyDiv w:val="1"/>
      <w:marLeft w:val="0"/>
      <w:marRight w:val="0"/>
      <w:marTop w:val="0"/>
      <w:marBottom w:val="0"/>
      <w:divBdr>
        <w:top w:val="none" w:sz="0" w:space="0" w:color="auto"/>
        <w:left w:val="none" w:sz="0" w:space="0" w:color="auto"/>
        <w:bottom w:val="none" w:sz="0" w:space="0" w:color="auto"/>
        <w:right w:val="none" w:sz="0" w:space="0" w:color="auto"/>
      </w:divBdr>
    </w:div>
    <w:div w:id="824705432">
      <w:bodyDiv w:val="1"/>
      <w:marLeft w:val="0"/>
      <w:marRight w:val="0"/>
      <w:marTop w:val="0"/>
      <w:marBottom w:val="0"/>
      <w:divBdr>
        <w:top w:val="none" w:sz="0" w:space="0" w:color="auto"/>
        <w:left w:val="none" w:sz="0" w:space="0" w:color="auto"/>
        <w:bottom w:val="none" w:sz="0" w:space="0" w:color="auto"/>
        <w:right w:val="none" w:sz="0" w:space="0" w:color="auto"/>
      </w:divBdr>
    </w:div>
    <w:div w:id="827669040">
      <w:bodyDiv w:val="1"/>
      <w:marLeft w:val="0"/>
      <w:marRight w:val="0"/>
      <w:marTop w:val="0"/>
      <w:marBottom w:val="0"/>
      <w:divBdr>
        <w:top w:val="none" w:sz="0" w:space="0" w:color="auto"/>
        <w:left w:val="none" w:sz="0" w:space="0" w:color="auto"/>
        <w:bottom w:val="none" w:sz="0" w:space="0" w:color="auto"/>
        <w:right w:val="none" w:sz="0" w:space="0" w:color="auto"/>
      </w:divBdr>
    </w:div>
    <w:div w:id="928856872">
      <w:bodyDiv w:val="1"/>
      <w:marLeft w:val="0"/>
      <w:marRight w:val="0"/>
      <w:marTop w:val="0"/>
      <w:marBottom w:val="0"/>
      <w:divBdr>
        <w:top w:val="none" w:sz="0" w:space="0" w:color="auto"/>
        <w:left w:val="none" w:sz="0" w:space="0" w:color="auto"/>
        <w:bottom w:val="none" w:sz="0" w:space="0" w:color="auto"/>
        <w:right w:val="none" w:sz="0" w:space="0" w:color="auto"/>
      </w:divBdr>
    </w:div>
    <w:div w:id="938173654">
      <w:bodyDiv w:val="1"/>
      <w:marLeft w:val="0"/>
      <w:marRight w:val="0"/>
      <w:marTop w:val="0"/>
      <w:marBottom w:val="0"/>
      <w:divBdr>
        <w:top w:val="none" w:sz="0" w:space="0" w:color="auto"/>
        <w:left w:val="none" w:sz="0" w:space="0" w:color="auto"/>
        <w:bottom w:val="none" w:sz="0" w:space="0" w:color="auto"/>
        <w:right w:val="none" w:sz="0" w:space="0" w:color="auto"/>
      </w:divBdr>
    </w:div>
    <w:div w:id="947008970">
      <w:bodyDiv w:val="1"/>
      <w:marLeft w:val="0"/>
      <w:marRight w:val="0"/>
      <w:marTop w:val="0"/>
      <w:marBottom w:val="0"/>
      <w:divBdr>
        <w:top w:val="none" w:sz="0" w:space="0" w:color="auto"/>
        <w:left w:val="none" w:sz="0" w:space="0" w:color="auto"/>
        <w:bottom w:val="none" w:sz="0" w:space="0" w:color="auto"/>
        <w:right w:val="none" w:sz="0" w:space="0" w:color="auto"/>
      </w:divBdr>
    </w:div>
    <w:div w:id="955137859">
      <w:bodyDiv w:val="1"/>
      <w:marLeft w:val="0"/>
      <w:marRight w:val="0"/>
      <w:marTop w:val="0"/>
      <w:marBottom w:val="0"/>
      <w:divBdr>
        <w:top w:val="none" w:sz="0" w:space="0" w:color="auto"/>
        <w:left w:val="none" w:sz="0" w:space="0" w:color="auto"/>
        <w:bottom w:val="none" w:sz="0" w:space="0" w:color="auto"/>
        <w:right w:val="none" w:sz="0" w:space="0" w:color="auto"/>
      </w:divBdr>
    </w:div>
    <w:div w:id="1005788617">
      <w:bodyDiv w:val="1"/>
      <w:marLeft w:val="0"/>
      <w:marRight w:val="0"/>
      <w:marTop w:val="0"/>
      <w:marBottom w:val="0"/>
      <w:divBdr>
        <w:top w:val="none" w:sz="0" w:space="0" w:color="auto"/>
        <w:left w:val="none" w:sz="0" w:space="0" w:color="auto"/>
        <w:bottom w:val="none" w:sz="0" w:space="0" w:color="auto"/>
        <w:right w:val="none" w:sz="0" w:space="0" w:color="auto"/>
      </w:divBdr>
    </w:div>
    <w:div w:id="1006514425">
      <w:bodyDiv w:val="1"/>
      <w:marLeft w:val="0"/>
      <w:marRight w:val="0"/>
      <w:marTop w:val="0"/>
      <w:marBottom w:val="0"/>
      <w:divBdr>
        <w:top w:val="none" w:sz="0" w:space="0" w:color="auto"/>
        <w:left w:val="none" w:sz="0" w:space="0" w:color="auto"/>
        <w:bottom w:val="none" w:sz="0" w:space="0" w:color="auto"/>
        <w:right w:val="none" w:sz="0" w:space="0" w:color="auto"/>
      </w:divBdr>
    </w:div>
    <w:div w:id="1006591682">
      <w:bodyDiv w:val="1"/>
      <w:marLeft w:val="0"/>
      <w:marRight w:val="0"/>
      <w:marTop w:val="0"/>
      <w:marBottom w:val="0"/>
      <w:divBdr>
        <w:top w:val="none" w:sz="0" w:space="0" w:color="auto"/>
        <w:left w:val="none" w:sz="0" w:space="0" w:color="auto"/>
        <w:bottom w:val="none" w:sz="0" w:space="0" w:color="auto"/>
        <w:right w:val="none" w:sz="0" w:space="0" w:color="auto"/>
      </w:divBdr>
    </w:div>
    <w:div w:id="1032149229">
      <w:bodyDiv w:val="1"/>
      <w:marLeft w:val="0"/>
      <w:marRight w:val="0"/>
      <w:marTop w:val="0"/>
      <w:marBottom w:val="0"/>
      <w:divBdr>
        <w:top w:val="none" w:sz="0" w:space="0" w:color="auto"/>
        <w:left w:val="none" w:sz="0" w:space="0" w:color="auto"/>
        <w:bottom w:val="none" w:sz="0" w:space="0" w:color="auto"/>
        <w:right w:val="none" w:sz="0" w:space="0" w:color="auto"/>
      </w:divBdr>
    </w:div>
    <w:div w:id="1056052891">
      <w:bodyDiv w:val="1"/>
      <w:marLeft w:val="0"/>
      <w:marRight w:val="0"/>
      <w:marTop w:val="0"/>
      <w:marBottom w:val="0"/>
      <w:divBdr>
        <w:top w:val="none" w:sz="0" w:space="0" w:color="auto"/>
        <w:left w:val="none" w:sz="0" w:space="0" w:color="auto"/>
        <w:bottom w:val="none" w:sz="0" w:space="0" w:color="auto"/>
        <w:right w:val="none" w:sz="0" w:space="0" w:color="auto"/>
      </w:divBdr>
    </w:div>
    <w:div w:id="1133908819">
      <w:bodyDiv w:val="1"/>
      <w:marLeft w:val="0"/>
      <w:marRight w:val="0"/>
      <w:marTop w:val="0"/>
      <w:marBottom w:val="0"/>
      <w:divBdr>
        <w:top w:val="none" w:sz="0" w:space="0" w:color="auto"/>
        <w:left w:val="none" w:sz="0" w:space="0" w:color="auto"/>
        <w:bottom w:val="none" w:sz="0" w:space="0" w:color="auto"/>
        <w:right w:val="none" w:sz="0" w:space="0" w:color="auto"/>
      </w:divBdr>
    </w:div>
    <w:div w:id="1155023481">
      <w:bodyDiv w:val="1"/>
      <w:marLeft w:val="0"/>
      <w:marRight w:val="0"/>
      <w:marTop w:val="0"/>
      <w:marBottom w:val="0"/>
      <w:divBdr>
        <w:top w:val="none" w:sz="0" w:space="0" w:color="auto"/>
        <w:left w:val="none" w:sz="0" w:space="0" w:color="auto"/>
        <w:bottom w:val="none" w:sz="0" w:space="0" w:color="auto"/>
        <w:right w:val="none" w:sz="0" w:space="0" w:color="auto"/>
      </w:divBdr>
    </w:div>
    <w:div w:id="1263950531">
      <w:bodyDiv w:val="1"/>
      <w:marLeft w:val="0"/>
      <w:marRight w:val="0"/>
      <w:marTop w:val="0"/>
      <w:marBottom w:val="0"/>
      <w:divBdr>
        <w:top w:val="none" w:sz="0" w:space="0" w:color="auto"/>
        <w:left w:val="none" w:sz="0" w:space="0" w:color="auto"/>
        <w:bottom w:val="none" w:sz="0" w:space="0" w:color="auto"/>
        <w:right w:val="none" w:sz="0" w:space="0" w:color="auto"/>
      </w:divBdr>
    </w:div>
    <w:div w:id="1353611360">
      <w:bodyDiv w:val="1"/>
      <w:marLeft w:val="0"/>
      <w:marRight w:val="0"/>
      <w:marTop w:val="0"/>
      <w:marBottom w:val="0"/>
      <w:divBdr>
        <w:top w:val="none" w:sz="0" w:space="0" w:color="auto"/>
        <w:left w:val="none" w:sz="0" w:space="0" w:color="auto"/>
        <w:bottom w:val="none" w:sz="0" w:space="0" w:color="auto"/>
        <w:right w:val="none" w:sz="0" w:space="0" w:color="auto"/>
      </w:divBdr>
    </w:div>
    <w:div w:id="1361709802">
      <w:bodyDiv w:val="1"/>
      <w:marLeft w:val="0"/>
      <w:marRight w:val="0"/>
      <w:marTop w:val="0"/>
      <w:marBottom w:val="0"/>
      <w:divBdr>
        <w:top w:val="none" w:sz="0" w:space="0" w:color="auto"/>
        <w:left w:val="none" w:sz="0" w:space="0" w:color="auto"/>
        <w:bottom w:val="none" w:sz="0" w:space="0" w:color="auto"/>
        <w:right w:val="none" w:sz="0" w:space="0" w:color="auto"/>
      </w:divBdr>
    </w:div>
    <w:div w:id="1380856933">
      <w:bodyDiv w:val="1"/>
      <w:marLeft w:val="0"/>
      <w:marRight w:val="0"/>
      <w:marTop w:val="0"/>
      <w:marBottom w:val="0"/>
      <w:divBdr>
        <w:top w:val="none" w:sz="0" w:space="0" w:color="auto"/>
        <w:left w:val="none" w:sz="0" w:space="0" w:color="auto"/>
        <w:bottom w:val="none" w:sz="0" w:space="0" w:color="auto"/>
        <w:right w:val="none" w:sz="0" w:space="0" w:color="auto"/>
      </w:divBdr>
    </w:div>
    <w:div w:id="1413969566">
      <w:bodyDiv w:val="1"/>
      <w:marLeft w:val="0"/>
      <w:marRight w:val="0"/>
      <w:marTop w:val="0"/>
      <w:marBottom w:val="0"/>
      <w:divBdr>
        <w:top w:val="none" w:sz="0" w:space="0" w:color="auto"/>
        <w:left w:val="none" w:sz="0" w:space="0" w:color="auto"/>
        <w:bottom w:val="none" w:sz="0" w:space="0" w:color="auto"/>
        <w:right w:val="none" w:sz="0" w:space="0" w:color="auto"/>
      </w:divBdr>
    </w:div>
    <w:div w:id="1443106279">
      <w:bodyDiv w:val="1"/>
      <w:marLeft w:val="0"/>
      <w:marRight w:val="0"/>
      <w:marTop w:val="0"/>
      <w:marBottom w:val="0"/>
      <w:divBdr>
        <w:top w:val="none" w:sz="0" w:space="0" w:color="auto"/>
        <w:left w:val="none" w:sz="0" w:space="0" w:color="auto"/>
        <w:bottom w:val="none" w:sz="0" w:space="0" w:color="auto"/>
        <w:right w:val="none" w:sz="0" w:space="0" w:color="auto"/>
      </w:divBdr>
    </w:div>
    <w:div w:id="1464154693">
      <w:bodyDiv w:val="1"/>
      <w:marLeft w:val="0"/>
      <w:marRight w:val="0"/>
      <w:marTop w:val="0"/>
      <w:marBottom w:val="0"/>
      <w:divBdr>
        <w:top w:val="none" w:sz="0" w:space="0" w:color="auto"/>
        <w:left w:val="none" w:sz="0" w:space="0" w:color="auto"/>
        <w:bottom w:val="none" w:sz="0" w:space="0" w:color="auto"/>
        <w:right w:val="none" w:sz="0" w:space="0" w:color="auto"/>
      </w:divBdr>
    </w:div>
    <w:div w:id="1477069328">
      <w:bodyDiv w:val="1"/>
      <w:marLeft w:val="0"/>
      <w:marRight w:val="0"/>
      <w:marTop w:val="0"/>
      <w:marBottom w:val="0"/>
      <w:divBdr>
        <w:top w:val="none" w:sz="0" w:space="0" w:color="auto"/>
        <w:left w:val="none" w:sz="0" w:space="0" w:color="auto"/>
        <w:bottom w:val="none" w:sz="0" w:space="0" w:color="auto"/>
        <w:right w:val="none" w:sz="0" w:space="0" w:color="auto"/>
      </w:divBdr>
    </w:div>
    <w:div w:id="1539514261">
      <w:bodyDiv w:val="1"/>
      <w:marLeft w:val="0"/>
      <w:marRight w:val="0"/>
      <w:marTop w:val="0"/>
      <w:marBottom w:val="0"/>
      <w:divBdr>
        <w:top w:val="none" w:sz="0" w:space="0" w:color="auto"/>
        <w:left w:val="none" w:sz="0" w:space="0" w:color="auto"/>
        <w:bottom w:val="none" w:sz="0" w:space="0" w:color="auto"/>
        <w:right w:val="none" w:sz="0" w:space="0" w:color="auto"/>
      </w:divBdr>
    </w:div>
    <w:div w:id="1576739939">
      <w:bodyDiv w:val="1"/>
      <w:marLeft w:val="0"/>
      <w:marRight w:val="0"/>
      <w:marTop w:val="0"/>
      <w:marBottom w:val="0"/>
      <w:divBdr>
        <w:top w:val="none" w:sz="0" w:space="0" w:color="auto"/>
        <w:left w:val="none" w:sz="0" w:space="0" w:color="auto"/>
        <w:bottom w:val="none" w:sz="0" w:space="0" w:color="auto"/>
        <w:right w:val="none" w:sz="0" w:space="0" w:color="auto"/>
      </w:divBdr>
    </w:div>
    <w:div w:id="1617173972">
      <w:bodyDiv w:val="1"/>
      <w:marLeft w:val="0"/>
      <w:marRight w:val="0"/>
      <w:marTop w:val="0"/>
      <w:marBottom w:val="0"/>
      <w:divBdr>
        <w:top w:val="none" w:sz="0" w:space="0" w:color="auto"/>
        <w:left w:val="none" w:sz="0" w:space="0" w:color="auto"/>
        <w:bottom w:val="none" w:sz="0" w:space="0" w:color="auto"/>
        <w:right w:val="none" w:sz="0" w:space="0" w:color="auto"/>
      </w:divBdr>
    </w:div>
    <w:div w:id="1673873381">
      <w:bodyDiv w:val="1"/>
      <w:marLeft w:val="0"/>
      <w:marRight w:val="0"/>
      <w:marTop w:val="0"/>
      <w:marBottom w:val="0"/>
      <w:divBdr>
        <w:top w:val="none" w:sz="0" w:space="0" w:color="auto"/>
        <w:left w:val="none" w:sz="0" w:space="0" w:color="auto"/>
        <w:bottom w:val="none" w:sz="0" w:space="0" w:color="auto"/>
        <w:right w:val="none" w:sz="0" w:space="0" w:color="auto"/>
      </w:divBdr>
      <w:divsChild>
        <w:div w:id="1702197289">
          <w:marLeft w:val="0"/>
          <w:marRight w:val="0"/>
          <w:marTop w:val="0"/>
          <w:marBottom w:val="0"/>
          <w:divBdr>
            <w:top w:val="none" w:sz="0" w:space="0" w:color="auto"/>
            <w:left w:val="none" w:sz="0" w:space="0" w:color="auto"/>
            <w:bottom w:val="none" w:sz="0" w:space="0" w:color="auto"/>
            <w:right w:val="none" w:sz="0" w:space="0" w:color="auto"/>
          </w:divBdr>
        </w:div>
      </w:divsChild>
    </w:div>
    <w:div w:id="1712681015">
      <w:bodyDiv w:val="1"/>
      <w:marLeft w:val="0"/>
      <w:marRight w:val="0"/>
      <w:marTop w:val="0"/>
      <w:marBottom w:val="0"/>
      <w:divBdr>
        <w:top w:val="none" w:sz="0" w:space="0" w:color="auto"/>
        <w:left w:val="none" w:sz="0" w:space="0" w:color="auto"/>
        <w:bottom w:val="none" w:sz="0" w:space="0" w:color="auto"/>
        <w:right w:val="none" w:sz="0" w:space="0" w:color="auto"/>
      </w:divBdr>
    </w:div>
    <w:div w:id="1786346340">
      <w:bodyDiv w:val="1"/>
      <w:marLeft w:val="0"/>
      <w:marRight w:val="0"/>
      <w:marTop w:val="0"/>
      <w:marBottom w:val="0"/>
      <w:divBdr>
        <w:top w:val="none" w:sz="0" w:space="0" w:color="auto"/>
        <w:left w:val="none" w:sz="0" w:space="0" w:color="auto"/>
        <w:bottom w:val="none" w:sz="0" w:space="0" w:color="auto"/>
        <w:right w:val="none" w:sz="0" w:space="0" w:color="auto"/>
      </w:divBdr>
    </w:div>
    <w:div w:id="1841383865">
      <w:bodyDiv w:val="1"/>
      <w:marLeft w:val="0"/>
      <w:marRight w:val="0"/>
      <w:marTop w:val="0"/>
      <w:marBottom w:val="0"/>
      <w:divBdr>
        <w:top w:val="none" w:sz="0" w:space="0" w:color="auto"/>
        <w:left w:val="none" w:sz="0" w:space="0" w:color="auto"/>
        <w:bottom w:val="none" w:sz="0" w:space="0" w:color="auto"/>
        <w:right w:val="none" w:sz="0" w:space="0" w:color="auto"/>
      </w:divBdr>
    </w:div>
    <w:div w:id="1870024348">
      <w:bodyDiv w:val="1"/>
      <w:marLeft w:val="0"/>
      <w:marRight w:val="0"/>
      <w:marTop w:val="0"/>
      <w:marBottom w:val="0"/>
      <w:divBdr>
        <w:top w:val="none" w:sz="0" w:space="0" w:color="auto"/>
        <w:left w:val="none" w:sz="0" w:space="0" w:color="auto"/>
        <w:bottom w:val="none" w:sz="0" w:space="0" w:color="auto"/>
        <w:right w:val="none" w:sz="0" w:space="0" w:color="auto"/>
      </w:divBdr>
    </w:div>
    <w:div w:id="1871069191">
      <w:bodyDiv w:val="1"/>
      <w:marLeft w:val="0"/>
      <w:marRight w:val="0"/>
      <w:marTop w:val="0"/>
      <w:marBottom w:val="0"/>
      <w:divBdr>
        <w:top w:val="none" w:sz="0" w:space="0" w:color="auto"/>
        <w:left w:val="none" w:sz="0" w:space="0" w:color="auto"/>
        <w:bottom w:val="none" w:sz="0" w:space="0" w:color="auto"/>
        <w:right w:val="none" w:sz="0" w:space="0" w:color="auto"/>
      </w:divBdr>
    </w:div>
    <w:div w:id="1953051205">
      <w:bodyDiv w:val="1"/>
      <w:marLeft w:val="0"/>
      <w:marRight w:val="0"/>
      <w:marTop w:val="0"/>
      <w:marBottom w:val="0"/>
      <w:divBdr>
        <w:top w:val="none" w:sz="0" w:space="0" w:color="auto"/>
        <w:left w:val="none" w:sz="0" w:space="0" w:color="auto"/>
        <w:bottom w:val="none" w:sz="0" w:space="0" w:color="auto"/>
        <w:right w:val="none" w:sz="0" w:space="0" w:color="auto"/>
      </w:divBdr>
    </w:div>
    <w:div w:id="1955863581">
      <w:bodyDiv w:val="1"/>
      <w:marLeft w:val="0"/>
      <w:marRight w:val="0"/>
      <w:marTop w:val="0"/>
      <w:marBottom w:val="0"/>
      <w:divBdr>
        <w:top w:val="none" w:sz="0" w:space="0" w:color="auto"/>
        <w:left w:val="none" w:sz="0" w:space="0" w:color="auto"/>
        <w:bottom w:val="none" w:sz="0" w:space="0" w:color="auto"/>
        <w:right w:val="none" w:sz="0" w:space="0" w:color="auto"/>
      </w:divBdr>
    </w:div>
    <w:div w:id="1978729247">
      <w:bodyDiv w:val="1"/>
      <w:marLeft w:val="0"/>
      <w:marRight w:val="0"/>
      <w:marTop w:val="0"/>
      <w:marBottom w:val="0"/>
      <w:divBdr>
        <w:top w:val="none" w:sz="0" w:space="0" w:color="auto"/>
        <w:left w:val="none" w:sz="0" w:space="0" w:color="auto"/>
        <w:bottom w:val="none" w:sz="0" w:space="0" w:color="auto"/>
        <w:right w:val="none" w:sz="0" w:space="0" w:color="auto"/>
      </w:divBdr>
    </w:div>
    <w:div w:id="2000620657">
      <w:bodyDiv w:val="1"/>
      <w:marLeft w:val="0"/>
      <w:marRight w:val="0"/>
      <w:marTop w:val="0"/>
      <w:marBottom w:val="0"/>
      <w:divBdr>
        <w:top w:val="none" w:sz="0" w:space="0" w:color="auto"/>
        <w:left w:val="none" w:sz="0" w:space="0" w:color="auto"/>
        <w:bottom w:val="none" w:sz="0" w:space="0" w:color="auto"/>
        <w:right w:val="none" w:sz="0" w:space="0" w:color="auto"/>
      </w:divBdr>
    </w:div>
    <w:div w:id="2019310150">
      <w:bodyDiv w:val="1"/>
      <w:marLeft w:val="0"/>
      <w:marRight w:val="0"/>
      <w:marTop w:val="0"/>
      <w:marBottom w:val="0"/>
      <w:divBdr>
        <w:top w:val="none" w:sz="0" w:space="0" w:color="auto"/>
        <w:left w:val="none" w:sz="0" w:space="0" w:color="auto"/>
        <w:bottom w:val="none" w:sz="0" w:space="0" w:color="auto"/>
        <w:right w:val="none" w:sz="0" w:space="0" w:color="auto"/>
      </w:divBdr>
    </w:div>
    <w:div w:id="2115392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emf"/><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emf"/><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SDE35">
      <a:dk1>
        <a:sysClr val="windowText" lastClr="000000"/>
      </a:dk1>
      <a:lt1>
        <a:sysClr val="window" lastClr="FFFFFF"/>
      </a:lt1>
      <a:dk2>
        <a:srgbClr val="8A8B8D"/>
      </a:dk2>
      <a:lt2>
        <a:srgbClr val="EEECE1"/>
      </a:lt2>
      <a:accent1>
        <a:srgbClr val="DF551A"/>
      </a:accent1>
      <a:accent2>
        <a:srgbClr val="70C3C6"/>
      </a:accent2>
      <a:accent3>
        <a:srgbClr val="C2D026"/>
      </a:accent3>
      <a:accent4>
        <a:srgbClr val="8064A2"/>
      </a:accent4>
      <a:accent5>
        <a:srgbClr val="F79646"/>
      </a:accent5>
      <a:accent6>
        <a:srgbClr val="000000"/>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F9301-02A7-4BD8-91C9-A61AC37C0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23</Pages>
  <Words>4588</Words>
  <Characters>25234</Characters>
  <Application>Microsoft Office Word</Application>
  <DocSecurity>0</DocSecurity>
  <Lines>210</Lines>
  <Paragraphs>59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29763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Luc  Tostivint</dc:creator>
  <cp:lastModifiedBy>Jean Luc  Tostivint</cp:lastModifiedBy>
  <cp:revision>15</cp:revision>
  <cp:lastPrinted>2019-10-15T13:27:00Z</cp:lastPrinted>
  <dcterms:created xsi:type="dcterms:W3CDTF">2019-09-19T09:58:00Z</dcterms:created>
  <dcterms:modified xsi:type="dcterms:W3CDTF">2019-10-15T13:28:00Z</dcterms:modified>
</cp:coreProperties>
</file>