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EBC" w:rsidRDefault="00F9491A" w:rsidP="0058226A">
      <w:pPr>
        <w:spacing w:after="0"/>
        <w:ind w:left="3540"/>
        <w:jc w:val="both"/>
        <w:rPr>
          <w:noProof/>
          <w:lang w:eastAsia="fr-FR"/>
        </w:rPr>
      </w:pPr>
      <w:r w:rsidRPr="00A2743F">
        <w:rPr>
          <w:rFonts w:ascii="Venacti Rg" w:hAnsi="Venacti Rg"/>
          <w:noProof/>
          <w:sz w:val="48"/>
          <w:szCs w:val="48"/>
          <w:lang w:eastAsia="fr-FR"/>
        </w:rPr>
        <w:drawing>
          <wp:anchor distT="0" distB="0" distL="114300" distR="114300" simplePos="0" relativeHeight="251658240" behindDoc="0" locked="0" layoutInCell="1" allowOverlap="1" wp14:anchorId="73402758" wp14:editId="7F325BB1">
            <wp:simplePos x="0" y="0"/>
            <wp:positionH relativeFrom="column">
              <wp:posOffset>-86451</wp:posOffset>
            </wp:positionH>
            <wp:positionV relativeFrom="paragraph">
              <wp:posOffset>113095</wp:posOffset>
            </wp:positionV>
            <wp:extent cx="1424940" cy="601980"/>
            <wp:effectExtent l="0" t="0" r="381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DE2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4940" cy="601980"/>
                    </a:xfrm>
                    <a:prstGeom prst="rect">
                      <a:avLst/>
                    </a:prstGeom>
                  </pic:spPr>
                </pic:pic>
              </a:graphicData>
            </a:graphic>
            <wp14:sizeRelH relativeFrom="margin">
              <wp14:pctWidth>0</wp14:pctWidth>
            </wp14:sizeRelH>
            <wp14:sizeRelV relativeFrom="margin">
              <wp14:pctHeight>0</wp14:pctHeight>
            </wp14:sizeRelV>
          </wp:anchor>
        </w:drawing>
      </w:r>
      <w:r>
        <w:rPr>
          <w:rFonts w:ascii="Venacti Rg" w:hAnsi="Venacti Rg"/>
          <w:color w:val="8A8B8D" w:themeColor="text2"/>
          <w:sz w:val="48"/>
          <w:szCs w:val="48"/>
        </w:rPr>
        <w:t xml:space="preserve">                    </w:t>
      </w:r>
      <w:r w:rsidR="000804C6">
        <w:rPr>
          <w:rFonts w:ascii="Venacti Rg" w:hAnsi="Venacti Rg"/>
          <w:color w:val="8A8B8D" w:themeColor="text2"/>
          <w:sz w:val="48"/>
          <w:szCs w:val="48"/>
        </w:rPr>
        <w:t xml:space="preserve"> </w:t>
      </w:r>
      <w:r>
        <w:rPr>
          <w:rFonts w:ascii="Venacti Rg" w:hAnsi="Venacti Rg"/>
          <w:color w:val="8A8B8D" w:themeColor="text2"/>
          <w:sz w:val="48"/>
          <w:szCs w:val="48"/>
        </w:rPr>
        <w:t xml:space="preserve"> </w:t>
      </w:r>
      <w:r w:rsidR="00B71C62">
        <w:rPr>
          <w:noProof/>
        </w:rPr>
        <w:t xml:space="preserve">       </w:t>
      </w:r>
    </w:p>
    <w:p w:rsidR="00BE242C" w:rsidRDefault="00BE242C" w:rsidP="001043BF">
      <w:pPr>
        <w:spacing w:after="0"/>
        <w:ind w:left="6372"/>
        <w:jc w:val="both"/>
        <w:rPr>
          <w:noProof/>
          <w:lang w:eastAsia="fr-FR"/>
        </w:rPr>
      </w:pPr>
    </w:p>
    <w:p w:rsidR="00BE242C" w:rsidRDefault="00BE242C" w:rsidP="0058226A">
      <w:pPr>
        <w:spacing w:after="0"/>
        <w:ind w:left="3540"/>
        <w:jc w:val="both"/>
        <w:rPr>
          <w:noProof/>
        </w:rPr>
      </w:pPr>
    </w:p>
    <w:p w:rsidR="00316657" w:rsidRDefault="00316657" w:rsidP="00006BD9">
      <w:pPr>
        <w:spacing w:after="0"/>
        <w:rPr>
          <w:noProof/>
        </w:rPr>
        <w:sectPr w:rsidR="00316657" w:rsidSect="00A2743F">
          <w:pgSz w:w="11906" w:h="16838"/>
          <w:pgMar w:top="1135" w:right="1418" w:bottom="1276" w:left="1418" w:header="709" w:footer="709" w:gutter="0"/>
          <w:cols w:space="708"/>
          <w:docGrid w:linePitch="360"/>
        </w:sectPr>
      </w:pPr>
    </w:p>
    <w:p w:rsidR="002C4DCC" w:rsidRPr="0045761D" w:rsidRDefault="00B71C62" w:rsidP="002C4DCC">
      <w:pPr>
        <w:spacing w:after="0"/>
        <w:rPr>
          <w:noProof/>
        </w:rPr>
        <w:sectPr w:rsidR="002C4DCC" w:rsidRPr="0045761D" w:rsidSect="00316657">
          <w:type w:val="continuous"/>
          <w:pgSz w:w="11906" w:h="16838"/>
          <w:pgMar w:top="1135" w:right="1418" w:bottom="1276" w:left="1418" w:header="709" w:footer="709" w:gutter="0"/>
          <w:cols w:space="708"/>
          <w:docGrid w:linePitch="360"/>
        </w:sectPr>
      </w:pPr>
      <w:r>
        <w:rPr>
          <w:noProof/>
        </w:rPr>
        <w:lastRenderedPageBreak/>
        <w:t xml:space="preserve">                                                                       </w:t>
      </w:r>
      <w:bookmarkStart w:id="0" w:name="_GoBack"/>
      <w:bookmarkEnd w:id="0"/>
      <w:r w:rsidR="002C4DCC">
        <w:rPr>
          <w:rFonts w:ascii="Venacti Rg" w:hAnsi="Venacti Rg"/>
          <w:color w:val="8A8B8D" w:themeColor="text2"/>
          <w:sz w:val="48"/>
          <w:szCs w:val="48"/>
        </w:rPr>
        <w:br/>
      </w:r>
    </w:p>
    <w:p w:rsidR="00316657" w:rsidRPr="00316657" w:rsidRDefault="00316657" w:rsidP="00316657">
      <w:pPr>
        <w:spacing w:after="0"/>
        <w:rPr>
          <w:rFonts w:ascii="Venacti Rg" w:hAnsi="Venacti Rg"/>
          <w:color w:val="E36C0A" w:themeColor="accent5" w:themeShade="BF"/>
          <w:sz w:val="40"/>
          <w:szCs w:val="40"/>
        </w:rPr>
      </w:pPr>
      <w:r w:rsidRPr="00316657">
        <w:rPr>
          <w:rFonts w:ascii="Venacti Rg" w:hAnsi="Venacti Rg"/>
          <w:color w:val="E36C0A" w:themeColor="accent5" w:themeShade="BF"/>
          <w:sz w:val="40"/>
          <w:szCs w:val="40"/>
        </w:rPr>
        <w:lastRenderedPageBreak/>
        <w:t>COMMUNIQUE DE PRESSE</w:t>
      </w:r>
    </w:p>
    <w:p w:rsidR="00316657" w:rsidRDefault="002C4DCC" w:rsidP="00F9491A">
      <w:pPr>
        <w:spacing w:after="0"/>
        <w:rPr>
          <w:rFonts w:ascii="Arial" w:hAnsi="Arial" w:cs="Arial"/>
          <w:noProof/>
          <w:color w:val="1A0DAB"/>
          <w:sz w:val="20"/>
          <w:szCs w:val="20"/>
          <w:bdr w:val="none" w:sz="0" w:space="0" w:color="auto" w:frame="1"/>
          <w:lang w:eastAsia="fr-FR"/>
        </w:rPr>
        <w:sectPr w:rsidR="00316657" w:rsidSect="00316657">
          <w:type w:val="continuous"/>
          <w:pgSz w:w="11906" w:h="16838"/>
          <w:pgMar w:top="1135" w:right="1418" w:bottom="1276" w:left="1418" w:header="709" w:footer="709" w:gutter="0"/>
          <w:cols w:space="708"/>
          <w:docGrid w:linePitch="360"/>
        </w:sectPr>
      </w:pPr>
      <w:r>
        <w:rPr>
          <w:rFonts w:ascii="Venacti Rg" w:hAnsi="Venacti Rg"/>
          <w:color w:val="E36C0A" w:themeColor="accent5" w:themeShade="BF"/>
          <w:sz w:val="48"/>
          <w:szCs w:val="48"/>
        </w:rPr>
        <w:t>18</w:t>
      </w:r>
      <w:r w:rsidR="00433FE6" w:rsidRPr="0024524A">
        <w:rPr>
          <w:rFonts w:ascii="Venacti Rg" w:hAnsi="Venacti Rg"/>
          <w:color w:val="E36C0A" w:themeColor="accent5" w:themeShade="BF"/>
          <w:sz w:val="48"/>
          <w:szCs w:val="48"/>
        </w:rPr>
        <w:t>/</w:t>
      </w:r>
      <w:r>
        <w:rPr>
          <w:rFonts w:ascii="Venacti Rg" w:hAnsi="Venacti Rg"/>
          <w:color w:val="E36C0A" w:themeColor="accent5" w:themeShade="BF"/>
          <w:sz w:val="48"/>
          <w:szCs w:val="48"/>
        </w:rPr>
        <w:t>06/2020</w:t>
      </w:r>
    </w:p>
    <w:p w:rsidR="00C23FB0" w:rsidRPr="002C4DCC" w:rsidRDefault="00C23FB0" w:rsidP="00F9491A">
      <w:pPr>
        <w:spacing w:after="0"/>
        <w:rPr>
          <w:rFonts w:ascii="Calibri" w:hAnsi="Calibri" w:cs="Calibri"/>
          <w:b/>
          <w:color w:val="E36C0A" w:themeColor="accent5" w:themeShade="BF"/>
          <w:sz w:val="4"/>
          <w:szCs w:val="4"/>
        </w:rPr>
        <w:sectPr w:rsidR="00C23FB0" w:rsidRPr="002C4DCC" w:rsidSect="00F9491A">
          <w:type w:val="continuous"/>
          <w:pgSz w:w="11906" w:h="16838"/>
          <w:pgMar w:top="1135" w:right="1418" w:bottom="1276" w:left="1418" w:header="709" w:footer="709" w:gutter="0"/>
          <w:cols w:num="2" w:space="708"/>
          <w:docGrid w:linePitch="360"/>
        </w:sectPr>
      </w:pPr>
    </w:p>
    <w:p w:rsidR="002C4DCC" w:rsidRPr="002C4DCC" w:rsidRDefault="002C4DCC" w:rsidP="002C4DCC">
      <w:pPr>
        <w:shd w:val="clear" w:color="auto" w:fill="F7F7F7"/>
        <w:spacing w:before="100" w:beforeAutospacing="1" w:after="100" w:afterAutospacing="1" w:line="240" w:lineRule="auto"/>
        <w:outlineLvl w:val="0"/>
        <w:rPr>
          <w:rFonts w:ascii="ITC Avant Garde Gothic Std" w:eastAsia="Times New Roman" w:hAnsi="ITC Avant Garde Gothic Std" w:cs="Times New Roman"/>
          <w:b/>
          <w:bCs/>
          <w:color w:val="555555"/>
          <w:kern w:val="36"/>
          <w:sz w:val="48"/>
          <w:szCs w:val="48"/>
          <w:lang w:eastAsia="fr-FR"/>
        </w:rPr>
      </w:pPr>
      <w:r w:rsidRPr="002C4DCC">
        <w:rPr>
          <w:rFonts w:ascii="ITC Avant Garde Gothic Std" w:eastAsia="Times New Roman" w:hAnsi="ITC Avant Garde Gothic Std" w:cs="Times New Roman"/>
          <w:b/>
          <w:bCs/>
          <w:color w:val="555555"/>
          <w:kern w:val="36"/>
          <w:sz w:val="48"/>
          <w:szCs w:val="48"/>
          <w:lang w:eastAsia="fr-FR"/>
        </w:rPr>
        <w:lastRenderedPageBreak/>
        <w:t>Lancement des travaux d’acquisition photographique PCRS en Ille-et-Vilaine</w:t>
      </w:r>
    </w:p>
    <w:p w:rsidR="002C4DCC" w:rsidRPr="002C4DCC" w:rsidRDefault="002C4DCC" w:rsidP="002C4DCC">
      <w:pPr>
        <w:shd w:val="clear" w:color="auto" w:fill="F7F7F7"/>
        <w:spacing w:after="0" w:line="240" w:lineRule="auto"/>
        <w:rPr>
          <w:rFonts w:ascii="ITC Avant Garde Gothic Std" w:eastAsia="Times New Roman" w:hAnsi="ITC Avant Garde Gothic Std" w:cs="Times New Roman"/>
          <w:i/>
          <w:iCs/>
          <w:color w:val="555555"/>
          <w:sz w:val="26"/>
          <w:szCs w:val="26"/>
          <w:lang w:eastAsia="fr-FR"/>
        </w:rPr>
      </w:pPr>
      <w:r w:rsidRPr="002C4DCC">
        <w:rPr>
          <w:rFonts w:ascii="ITC Avant Garde Gothic Std" w:eastAsia="Times New Roman" w:hAnsi="ITC Avant Garde Gothic Std" w:cs="Times New Roman"/>
          <w:i/>
          <w:iCs/>
          <w:color w:val="555555"/>
          <w:sz w:val="26"/>
          <w:szCs w:val="26"/>
          <w:lang w:eastAsia="fr-FR"/>
        </w:rPr>
        <w:t>Les trava</w:t>
      </w:r>
      <w:r>
        <w:rPr>
          <w:rFonts w:ascii="ITC Avant Garde Gothic Std" w:eastAsia="Times New Roman" w:hAnsi="ITC Avant Garde Gothic Std" w:cs="Times New Roman"/>
          <w:i/>
          <w:iCs/>
          <w:color w:val="555555"/>
          <w:sz w:val="26"/>
          <w:szCs w:val="26"/>
          <w:lang w:eastAsia="fr-FR"/>
        </w:rPr>
        <w:t>ux d’acquisition photographique</w:t>
      </w:r>
      <w:r w:rsidRPr="002C4DCC">
        <w:rPr>
          <w:rFonts w:ascii="ITC Avant Garde Gothic Std" w:eastAsia="Times New Roman" w:hAnsi="ITC Avant Garde Gothic Std" w:cs="Times New Roman"/>
          <w:i/>
          <w:iCs/>
          <w:color w:val="555555"/>
          <w:sz w:val="26"/>
          <w:szCs w:val="26"/>
          <w:lang w:eastAsia="fr-FR"/>
        </w:rPr>
        <w:t xml:space="preserve"> requis pour le projet PCRS démarrent cette semaine avec la mise en place de </w:t>
      </w:r>
      <w:proofErr w:type="spellStart"/>
      <w:r w:rsidRPr="002C4DCC">
        <w:rPr>
          <w:rFonts w:ascii="ITC Avant Garde Gothic Std" w:eastAsia="Times New Roman" w:hAnsi="ITC Avant Garde Gothic Std" w:cs="Times New Roman"/>
          <w:i/>
          <w:iCs/>
          <w:color w:val="555555"/>
          <w:sz w:val="26"/>
          <w:szCs w:val="26"/>
          <w:lang w:eastAsia="fr-FR"/>
        </w:rPr>
        <w:t>prébalises</w:t>
      </w:r>
      <w:proofErr w:type="spellEnd"/>
      <w:r w:rsidRPr="002C4DCC">
        <w:rPr>
          <w:rFonts w:ascii="ITC Avant Garde Gothic Std" w:eastAsia="Times New Roman" w:hAnsi="ITC Avant Garde Gothic Std" w:cs="Times New Roman"/>
          <w:i/>
          <w:iCs/>
          <w:color w:val="555555"/>
          <w:sz w:val="26"/>
          <w:szCs w:val="26"/>
          <w:lang w:eastAsia="fr-FR"/>
        </w:rPr>
        <w:t xml:space="preserve"> sur l’ensemble du département. Ces </w:t>
      </w:r>
      <w:proofErr w:type="spellStart"/>
      <w:r w:rsidRPr="002C4DCC">
        <w:rPr>
          <w:rFonts w:ascii="ITC Avant Garde Gothic Std" w:eastAsia="Times New Roman" w:hAnsi="ITC Avant Garde Gothic Std" w:cs="Times New Roman"/>
          <w:i/>
          <w:iCs/>
          <w:color w:val="555555"/>
          <w:sz w:val="26"/>
          <w:szCs w:val="26"/>
          <w:lang w:eastAsia="fr-FR"/>
        </w:rPr>
        <w:t>prébalises</w:t>
      </w:r>
      <w:proofErr w:type="spellEnd"/>
      <w:r w:rsidRPr="002C4DCC">
        <w:rPr>
          <w:rFonts w:ascii="ITC Avant Garde Gothic Std" w:eastAsia="Times New Roman" w:hAnsi="ITC Avant Garde Gothic Std" w:cs="Times New Roman"/>
          <w:i/>
          <w:iCs/>
          <w:color w:val="555555"/>
          <w:sz w:val="26"/>
          <w:szCs w:val="26"/>
          <w:lang w:eastAsia="fr-FR"/>
        </w:rPr>
        <w:t>, outil de repérage visuel et référentiel de contrôle, permettront de réaliser les clichés aériens pour la constitution du PCRS (Plan Corps de Rue Simplifié) à l’échelle du département.</w:t>
      </w:r>
    </w:p>
    <w:p w:rsidR="000E4807" w:rsidRPr="002C4DCC" w:rsidRDefault="000E4807" w:rsidP="0077214D">
      <w:pPr>
        <w:spacing w:after="0"/>
        <w:rPr>
          <w:rFonts w:ascii="Calibri" w:hAnsi="Calibri" w:cs="Calibri"/>
          <w:b/>
          <w:color w:val="000000" w:themeColor="text1"/>
          <w:sz w:val="10"/>
          <w:szCs w:val="10"/>
        </w:rPr>
      </w:pPr>
    </w:p>
    <w:p w:rsidR="002C4DCC" w:rsidRPr="002C4DCC" w:rsidRDefault="002C4DCC" w:rsidP="002C4DCC">
      <w:pPr>
        <w:pStyle w:val="NormalWeb"/>
        <w:shd w:val="clear" w:color="auto" w:fill="FFFFFF"/>
        <w:spacing w:before="0" w:beforeAutospacing="0" w:after="0" w:afterAutospacing="0"/>
        <w:rPr>
          <w:rFonts w:asciiTheme="minorHAnsi" w:hAnsiTheme="minorHAnsi" w:cstheme="minorHAnsi"/>
          <w:b/>
          <w:color w:val="E36C0A" w:themeColor="accent5" w:themeShade="BF"/>
          <w:sz w:val="22"/>
          <w:szCs w:val="22"/>
        </w:rPr>
      </w:pPr>
      <w:r w:rsidRPr="002C4DCC">
        <w:rPr>
          <w:rFonts w:asciiTheme="minorHAnsi" w:hAnsiTheme="minorHAnsi" w:cstheme="minorHAnsi"/>
          <w:b/>
          <w:color w:val="E36C0A" w:themeColor="accent5" w:themeShade="BF"/>
          <w:sz w:val="22"/>
          <w:szCs w:val="22"/>
        </w:rPr>
        <w:t>Un fonds de plan mutualisé pour faire figurer tous les réseaux</w:t>
      </w:r>
    </w:p>
    <w:p w:rsidR="002C4DCC" w:rsidRDefault="002C4DCC" w:rsidP="002C4DCC">
      <w:pPr>
        <w:pStyle w:val="NormalWeb"/>
        <w:shd w:val="clear" w:color="auto" w:fill="FFFFFF"/>
        <w:spacing w:before="0" w:beforeAutospacing="0" w:after="0" w:afterAutospacing="0"/>
        <w:rPr>
          <w:rFonts w:asciiTheme="minorHAnsi" w:hAnsiTheme="minorHAnsi" w:cstheme="minorHAnsi"/>
          <w:color w:val="555555"/>
          <w:sz w:val="22"/>
          <w:szCs w:val="22"/>
        </w:rPr>
      </w:pPr>
      <w:r w:rsidRPr="002C4DCC">
        <w:rPr>
          <w:rFonts w:asciiTheme="minorHAnsi" w:hAnsiTheme="minorHAnsi" w:cstheme="minorHAnsi"/>
          <w:color w:val="555555"/>
          <w:sz w:val="22"/>
          <w:szCs w:val="22"/>
        </w:rPr>
        <w:t>Le</w:t>
      </w:r>
      <w:r w:rsidRPr="002C4DCC">
        <w:rPr>
          <w:rFonts w:asciiTheme="minorHAnsi" w:hAnsiTheme="minorHAnsi" w:cstheme="minorHAnsi"/>
          <w:color w:val="555555"/>
          <w:sz w:val="22"/>
          <w:szCs w:val="22"/>
        </w:rPr>
        <w:t xml:space="preserve"> PCRS intervient dans le cadre de la réforme « anti-endommagement des réseaux » de 2012, dont l’objectif est de fiabiliser les échanges entre partenaires pour réduire les risques d’accidents liés aux travaux à proximité des réseaux. Référentiel commun mutualisé, le PCRS doit permettre à chaque gestionnaire de faire figurer l’ensemble de son patrimoine aérien sur un fond de plan unique et très précis.  Concrètement, il existe deux types de méthode d’acquisition pour la constitution du PCRS : acquisition « image » issu de clichés aériens et d’</w:t>
      </w:r>
      <w:proofErr w:type="spellStart"/>
      <w:r w:rsidRPr="002C4DCC">
        <w:rPr>
          <w:rFonts w:asciiTheme="minorHAnsi" w:hAnsiTheme="minorHAnsi" w:cstheme="minorHAnsi"/>
          <w:color w:val="555555"/>
          <w:sz w:val="22"/>
          <w:szCs w:val="22"/>
        </w:rPr>
        <w:t>orthophotographies</w:t>
      </w:r>
      <w:proofErr w:type="spellEnd"/>
      <w:r w:rsidRPr="002C4DCC">
        <w:rPr>
          <w:rFonts w:asciiTheme="minorHAnsi" w:hAnsiTheme="minorHAnsi" w:cstheme="minorHAnsi"/>
          <w:color w:val="555555"/>
          <w:sz w:val="22"/>
          <w:szCs w:val="22"/>
        </w:rPr>
        <w:t>, et « vecteur » issu d’un scanner laser (LIDAR) et de nuage de points.</w:t>
      </w:r>
    </w:p>
    <w:p w:rsidR="002C4DCC" w:rsidRPr="002C4DCC" w:rsidRDefault="002C4DCC" w:rsidP="002C4DCC">
      <w:pPr>
        <w:pStyle w:val="NormalWeb"/>
        <w:shd w:val="clear" w:color="auto" w:fill="FFFFFF"/>
        <w:spacing w:before="0" w:beforeAutospacing="0" w:after="0" w:afterAutospacing="0"/>
        <w:rPr>
          <w:rFonts w:asciiTheme="minorHAnsi" w:hAnsiTheme="minorHAnsi" w:cstheme="minorHAnsi"/>
          <w:color w:val="555555"/>
          <w:sz w:val="10"/>
          <w:szCs w:val="10"/>
        </w:rPr>
      </w:pPr>
    </w:p>
    <w:p w:rsidR="002C4DCC" w:rsidRDefault="002C4DCC" w:rsidP="002C4DCC">
      <w:pPr>
        <w:pStyle w:val="NormalWeb"/>
        <w:shd w:val="clear" w:color="auto" w:fill="FFFFFF"/>
        <w:spacing w:before="0" w:beforeAutospacing="0" w:after="0" w:afterAutospacing="0"/>
        <w:rPr>
          <w:rFonts w:asciiTheme="minorHAnsi" w:hAnsiTheme="minorHAnsi" w:cstheme="minorHAnsi"/>
          <w:color w:val="555555"/>
          <w:sz w:val="22"/>
          <w:szCs w:val="22"/>
        </w:rPr>
      </w:pPr>
      <w:r w:rsidRPr="002C4DCC">
        <w:rPr>
          <w:rFonts w:asciiTheme="minorHAnsi" w:hAnsiTheme="minorHAnsi" w:cstheme="minorHAnsi"/>
          <w:b/>
          <w:color w:val="E36C0A" w:themeColor="accent5" w:themeShade="BF"/>
          <w:sz w:val="22"/>
          <w:szCs w:val="22"/>
        </w:rPr>
        <w:t>Le SDE35 pilote du PCRS en Ille-et-Vilaine</w:t>
      </w:r>
      <w:r w:rsidRPr="002C4DCC">
        <w:rPr>
          <w:rFonts w:asciiTheme="minorHAnsi" w:hAnsiTheme="minorHAnsi" w:cstheme="minorHAnsi"/>
          <w:color w:val="555555"/>
          <w:sz w:val="22"/>
          <w:szCs w:val="22"/>
        </w:rPr>
        <w:br/>
      </w:r>
      <w:r w:rsidRPr="002C4DCC">
        <w:rPr>
          <w:rFonts w:asciiTheme="minorHAnsi" w:hAnsiTheme="minorHAnsi" w:cstheme="minorHAnsi"/>
          <w:color w:val="555555"/>
          <w:sz w:val="22"/>
          <w:szCs w:val="22"/>
        </w:rPr>
        <w:t>En Ille-et-Vilaine, c’est le SDE35 qui pilote la réalisation des PCRS auprès des différentes collectivités et partenaires/opérateurs concernés afin de mutualiser les moyens requis pour la mise en œuvre du projet, dont l’acquisition des données cartographiques selon ces deux techniques.   </w:t>
      </w:r>
      <w:r>
        <w:rPr>
          <w:rFonts w:asciiTheme="minorHAnsi" w:hAnsiTheme="minorHAnsi" w:cstheme="minorHAnsi"/>
          <w:color w:val="555555"/>
          <w:sz w:val="22"/>
          <w:szCs w:val="22"/>
        </w:rPr>
        <w:br/>
      </w:r>
      <w:r w:rsidRPr="002C4DCC">
        <w:rPr>
          <w:rFonts w:asciiTheme="minorHAnsi" w:hAnsiTheme="minorHAnsi" w:cstheme="minorHAnsi"/>
          <w:color w:val="555555"/>
          <w:sz w:val="22"/>
          <w:szCs w:val="22"/>
        </w:rPr>
        <w:t xml:space="preserve">Une </w:t>
      </w:r>
      <w:proofErr w:type="spellStart"/>
      <w:r w:rsidRPr="002C4DCC">
        <w:rPr>
          <w:rFonts w:asciiTheme="minorHAnsi" w:hAnsiTheme="minorHAnsi" w:cstheme="minorHAnsi"/>
          <w:color w:val="555555"/>
          <w:sz w:val="22"/>
          <w:szCs w:val="22"/>
        </w:rPr>
        <w:t>Orthophotographie</w:t>
      </w:r>
      <w:proofErr w:type="spellEnd"/>
      <w:r w:rsidRPr="002C4DCC">
        <w:rPr>
          <w:rFonts w:asciiTheme="minorHAnsi" w:hAnsiTheme="minorHAnsi" w:cstheme="minorHAnsi"/>
          <w:color w:val="555555"/>
          <w:sz w:val="22"/>
          <w:szCs w:val="22"/>
        </w:rPr>
        <w:t xml:space="preserve"> (PCRS image) sera ainsi réalisée sur la totalité du territoire d’Ille et Vilaine (Hors Rennes Métropole.) par l’IGN (Institut National de l’Informatique Géographique et Forestière). Pour ce faire, 44 sites ont été référencés en points de contrôle, dont 27 qui seront équipés de </w:t>
      </w:r>
      <w:proofErr w:type="spellStart"/>
      <w:r w:rsidRPr="002C4DCC">
        <w:rPr>
          <w:rFonts w:asciiTheme="minorHAnsi" w:hAnsiTheme="minorHAnsi" w:cstheme="minorHAnsi"/>
          <w:color w:val="555555"/>
          <w:sz w:val="22"/>
          <w:szCs w:val="22"/>
        </w:rPr>
        <w:t>prébalises</w:t>
      </w:r>
      <w:proofErr w:type="spellEnd"/>
      <w:r w:rsidRPr="002C4DCC">
        <w:rPr>
          <w:rFonts w:asciiTheme="minorHAnsi" w:hAnsiTheme="minorHAnsi" w:cstheme="minorHAnsi"/>
          <w:color w:val="555555"/>
          <w:sz w:val="22"/>
          <w:szCs w:val="22"/>
        </w:rPr>
        <w:t>. Une équipe IGN dédiée sera sur le terrain toute la semaine du 15 juin pour déterminer l’emplacement précis des balises qui seront matérialisées au sol par un rond central de couleur noire de diamètre de 15 cm, et une couronne de couleur blanche de 15 cm de largeur, le tout constituant un cercle de 45 cm de diamètre.</w:t>
      </w:r>
    </w:p>
    <w:p w:rsidR="002C4DCC" w:rsidRPr="002C4DCC" w:rsidRDefault="002C4DCC" w:rsidP="002C4DCC">
      <w:pPr>
        <w:pStyle w:val="NormalWeb"/>
        <w:shd w:val="clear" w:color="auto" w:fill="FFFFFF"/>
        <w:spacing w:before="0" w:beforeAutospacing="0" w:after="0" w:afterAutospacing="0"/>
        <w:rPr>
          <w:rFonts w:asciiTheme="minorHAnsi" w:hAnsiTheme="minorHAnsi" w:cstheme="minorHAnsi"/>
          <w:color w:val="555555"/>
          <w:sz w:val="10"/>
          <w:szCs w:val="10"/>
        </w:rPr>
      </w:pPr>
    </w:p>
    <w:p w:rsidR="006157E7" w:rsidRDefault="002C4DCC" w:rsidP="002C4DCC">
      <w:pPr>
        <w:pStyle w:val="NormalWeb"/>
        <w:shd w:val="clear" w:color="auto" w:fill="FFFFFF"/>
        <w:spacing w:before="0" w:beforeAutospacing="0" w:after="0" w:afterAutospacing="0"/>
        <w:rPr>
          <w:rFonts w:asciiTheme="minorHAnsi" w:hAnsiTheme="minorHAnsi" w:cstheme="minorHAnsi"/>
          <w:bCs/>
          <w:iCs/>
          <w:color w:val="454546" w:themeColor="text2" w:themeShade="80"/>
          <w:sz w:val="22"/>
          <w:szCs w:val="22"/>
        </w:rPr>
      </w:pPr>
      <w:r>
        <w:rPr>
          <w:rFonts w:asciiTheme="minorHAnsi" w:hAnsiTheme="minorHAnsi" w:cstheme="minorHAnsi"/>
          <w:b/>
          <w:bCs/>
          <w:iCs/>
          <w:color w:val="E36C0A" w:themeColor="accent5" w:themeShade="BF"/>
          <w:sz w:val="22"/>
          <w:szCs w:val="22"/>
        </w:rPr>
        <w:t xml:space="preserve">Une balise à la </w:t>
      </w:r>
      <w:proofErr w:type="spellStart"/>
      <w:r>
        <w:rPr>
          <w:rFonts w:asciiTheme="minorHAnsi" w:hAnsiTheme="minorHAnsi" w:cstheme="minorHAnsi"/>
          <w:b/>
          <w:bCs/>
          <w:iCs/>
          <w:color w:val="E36C0A" w:themeColor="accent5" w:themeShade="BF"/>
          <w:sz w:val="22"/>
          <w:szCs w:val="22"/>
        </w:rPr>
        <w:t>Bouëxière</w:t>
      </w:r>
      <w:proofErr w:type="spellEnd"/>
      <w:r>
        <w:rPr>
          <w:rFonts w:asciiTheme="minorHAnsi" w:hAnsiTheme="minorHAnsi" w:cstheme="minorHAnsi"/>
          <w:b/>
          <w:bCs/>
          <w:iCs/>
          <w:color w:val="E36C0A" w:themeColor="accent5" w:themeShade="BF"/>
          <w:sz w:val="22"/>
          <w:szCs w:val="22"/>
        </w:rPr>
        <w:br/>
      </w:r>
      <w:r w:rsidRPr="002C4DCC">
        <w:rPr>
          <w:rFonts w:asciiTheme="minorHAnsi" w:hAnsiTheme="minorHAnsi" w:cstheme="minorHAnsi"/>
          <w:bCs/>
          <w:iCs/>
          <w:color w:val="454546" w:themeColor="text2" w:themeShade="80"/>
          <w:sz w:val="22"/>
          <w:szCs w:val="22"/>
        </w:rPr>
        <w:t xml:space="preserve">La </w:t>
      </w:r>
      <w:r w:rsidRPr="002C4DCC">
        <w:rPr>
          <w:rFonts w:asciiTheme="minorHAnsi" w:hAnsiTheme="minorHAnsi" w:cstheme="minorHAnsi"/>
          <w:bCs/>
          <w:iCs/>
          <w:color w:val="454546" w:themeColor="text2" w:themeShade="80"/>
          <w:sz w:val="22"/>
          <w:szCs w:val="22"/>
        </w:rPr>
        <w:t xml:space="preserve">commune </w:t>
      </w:r>
      <w:r w:rsidRPr="002C4DCC">
        <w:rPr>
          <w:rFonts w:asciiTheme="minorHAnsi" w:hAnsiTheme="minorHAnsi" w:cstheme="minorHAnsi"/>
          <w:bCs/>
          <w:iCs/>
          <w:color w:val="454546" w:themeColor="text2" w:themeShade="80"/>
          <w:sz w:val="22"/>
          <w:szCs w:val="22"/>
        </w:rPr>
        <w:t xml:space="preserve">de la </w:t>
      </w:r>
      <w:proofErr w:type="spellStart"/>
      <w:r w:rsidRPr="002C4DCC">
        <w:rPr>
          <w:rFonts w:asciiTheme="minorHAnsi" w:hAnsiTheme="minorHAnsi" w:cstheme="minorHAnsi"/>
          <w:bCs/>
          <w:iCs/>
          <w:color w:val="454546" w:themeColor="text2" w:themeShade="80"/>
          <w:sz w:val="22"/>
          <w:szCs w:val="22"/>
        </w:rPr>
        <w:t>Bouëxière</w:t>
      </w:r>
      <w:proofErr w:type="spellEnd"/>
      <w:r w:rsidRPr="002C4DCC">
        <w:rPr>
          <w:rFonts w:asciiTheme="minorHAnsi" w:hAnsiTheme="minorHAnsi" w:cstheme="minorHAnsi"/>
          <w:bCs/>
          <w:iCs/>
          <w:color w:val="454546" w:themeColor="text2" w:themeShade="80"/>
          <w:sz w:val="22"/>
          <w:szCs w:val="22"/>
        </w:rPr>
        <w:t xml:space="preserve"> </w:t>
      </w:r>
      <w:r w:rsidRPr="002C4DCC">
        <w:rPr>
          <w:rFonts w:asciiTheme="minorHAnsi" w:hAnsiTheme="minorHAnsi" w:cstheme="minorHAnsi"/>
          <w:bCs/>
          <w:iCs/>
          <w:color w:val="454546" w:themeColor="text2" w:themeShade="80"/>
          <w:sz w:val="22"/>
          <w:szCs w:val="22"/>
        </w:rPr>
        <w:t xml:space="preserve">est directement concernée par le projet puisqu’une de ces </w:t>
      </w:r>
      <w:proofErr w:type="spellStart"/>
      <w:r w:rsidRPr="002C4DCC">
        <w:rPr>
          <w:rFonts w:asciiTheme="minorHAnsi" w:hAnsiTheme="minorHAnsi" w:cstheme="minorHAnsi"/>
          <w:bCs/>
          <w:iCs/>
          <w:color w:val="454546" w:themeColor="text2" w:themeShade="80"/>
          <w:sz w:val="22"/>
          <w:szCs w:val="22"/>
        </w:rPr>
        <w:t>prébalises</w:t>
      </w:r>
      <w:proofErr w:type="spellEnd"/>
      <w:r w:rsidRPr="002C4DCC">
        <w:rPr>
          <w:rFonts w:asciiTheme="minorHAnsi" w:hAnsiTheme="minorHAnsi" w:cstheme="minorHAnsi"/>
          <w:bCs/>
          <w:iCs/>
          <w:color w:val="454546" w:themeColor="text2" w:themeShade="80"/>
          <w:sz w:val="22"/>
          <w:szCs w:val="22"/>
        </w:rPr>
        <w:t xml:space="preserve"> se situe sur </w:t>
      </w:r>
      <w:r w:rsidRPr="002C4DCC">
        <w:rPr>
          <w:rFonts w:asciiTheme="minorHAnsi" w:hAnsiTheme="minorHAnsi" w:cstheme="minorHAnsi"/>
          <w:bCs/>
          <w:iCs/>
          <w:color w:val="454546" w:themeColor="text2" w:themeShade="80"/>
          <w:sz w:val="22"/>
          <w:szCs w:val="22"/>
        </w:rPr>
        <w:t>son</w:t>
      </w:r>
      <w:r>
        <w:rPr>
          <w:rFonts w:asciiTheme="minorHAnsi" w:hAnsiTheme="minorHAnsi" w:cstheme="minorHAnsi"/>
          <w:bCs/>
          <w:iCs/>
          <w:color w:val="454546" w:themeColor="text2" w:themeShade="80"/>
          <w:sz w:val="22"/>
          <w:szCs w:val="22"/>
        </w:rPr>
        <w:t xml:space="preserve"> territoire.</w:t>
      </w:r>
    </w:p>
    <w:p w:rsidR="002C4DCC" w:rsidRPr="002C4DCC" w:rsidRDefault="002C4DCC" w:rsidP="002C4DCC">
      <w:pPr>
        <w:pStyle w:val="NormalWeb"/>
        <w:shd w:val="clear" w:color="auto" w:fill="FFFFFF"/>
        <w:spacing w:before="0" w:beforeAutospacing="0" w:after="0" w:afterAutospacing="0"/>
        <w:rPr>
          <w:rFonts w:asciiTheme="minorHAnsi" w:hAnsiTheme="minorHAnsi" w:cstheme="minorHAnsi"/>
          <w:color w:val="555555"/>
          <w:sz w:val="8"/>
          <w:szCs w:val="8"/>
        </w:rPr>
      </w:pPr>
    </w:p>
    <w:p w:rsidR="008B7BC6" w:rsidRPr="00FC09BA" w:rsidRDefault="008B7BC6" w:rsidP="00FC09BA">
      <w:pPr>
        <w:spacing w:after="0"/>
        <w:jc w:val="center"/>
        <w:rPr>
          <w:rFonts w:ascii="Calibri" w:hAnsi="Calibri" w:cs="Calibri"/>
          <w:i/>
          <w:sz w:val="20"/>
          <w:szCs w:val="20"/>
        </w:rPr>
      </w:pPr>
      <w:r w:rsidRPr="00FC09BA">
        <w:rPr>
          <w:rFonts w:ascii="Calibri" w:hAnsi="Calibri" w:cs="Calibri"/>
          <w:i/>
          <w:color w:val="E36C0A" w:themeColor="accent5" w:themeShade="BF"/>
          <w:sz w:val="20"/>
          <w:szCs w:val="20"/>
        </w:rPr>
        <w:t xml:space="preserve">Contact presse : </w:t>
      </w:r>
      <w:r w:rsidR="002C4DCC">
        <w:rPr>
          <w:rFonts w:ascii="Calibri" w:hAnsi="Calibri" w:cs="Calibri"/>
          <w:i/>
          <w:sz w:val="20"/>
          <w:szCs w:val="20"/>
        </w:rPr>
        <w:t>Sophie LANTERNIER</w:t>
      </w:r>
      <w:r w:rsidRPr="00FC09BA">
        <w:rPr>
          <w:rFonts w:ascii="Calibri" w:hAnsi="Calibri" w:cs="Calibri"/>
          <w:i/>
          <w:sz w:val="20"/>
          <w:szCs w:val="20"/>
        </w:rPr>
        <w:t>  /</w:t>
      </w:r>
      <w:hyperlink r:id="rId9" w:history="1">
        <w:r w:rsidR="002C4DCC" w:rsidRPr="00995601">
          <w:rPr>
            <w:rStyle w:val="Lienhypertexte"/>
            <w:rFonts w:ascii="Calibri" w:hAnsi="Calibri" w:cs="Calibri"/>
            <w:i/>
            <w:sz w:val="20"/>
            <w:szCs w:val="20"/>
          </w:rPr>
          <w:t>s.lanternier@sde35.fr/</w:t>
        </w:r>
      </w:hyperlink>
      <w:r w:rsidRPr="00FC09BA">
        <w:rPr>
          <w:rFonts w:ascii="Calibri" w:hAnsi="Calibri" w:cs="Calibri"/>
          <w:i/>
          <w:sz w:val="20"/>
          <w:szCs w:val="20"/>
        </w:rPr>
        <w:t xml:space="preserve"> </w:t>
      </w:r>
      <w:r w:rsidR="002C4DCC">
        <w:rPr>
          <w:rFonts w:ascii="Calibri" w:hAnsi="Calibri" w:cs="Calibri"/>
          <w:i/>
          <w:sz w:val="20"/>
          <w:szCs w:val="20"/>
        </w:rPr>
        <w:t>06 61 22 09 02</w:t>
      </w:r>
    </w:p>
    <w:p w:rsidR="006157E7" w:rsidRPr="002C4DCC" w:rsidRDefault="006157E7" w:rsidP="00C23665">
      <w:pPr>
        <w:spacing w:after="0"/>
        <w:jc w:val="both"/>
        <w:rPr>
          <w:rFonts w:ascii="Calibri" w:hAnsi="Calibri" w:cs="Calibri"/>
          <w:b/>
          <w:sz w:val="8"/>
          <w:szCs w:val="8"/>
        </w:rPr>
      </w:pPr>
    </w:p>
    <w:p w:rsidR="00241B9B" w:rsidRPr="0024524A" w:rsidRDefault="00241B9B" w:rsidP="00C23665">
      <w:pPr>
        <w:spacing w:after="0"/>
        <w:jc w:val="both"/>
        <w:rPr>
          <w:rFonts w:ascii="Calibri" w:hAnsi="Calibri" w:cs="Calibri"/>
          <w:color w:val="F79646" w:themeColor="accent5"/>
          <w:sz w:val="2"/>
          <w:szCs w:val="2"/>
        </w:rPr>
      </w:pPr>
    </w:p>
    <w:p w:rsidR="0024524A" w:rsidRDefault="0024524A" w:rsidP="0044607C">
      <w:pPr>
        <w:spacing w:after="0"/>
        <w:rPr>
          <w:rFonts w:ascii="Calibri" w:hAnsi="Calibri" w:cs="Calibri"/>
          <w:b/>
          <w:color w:val="676769" w:themeColor="text2" w:themeShade="BF"/>
          <w:sz w:val="18"/>
          <w:szCs w:val="18"/>
        </w:rPr>
      </w:pPr>
      <w:r w:rsidRPr="00BE3DB4">
        <w:rPr>
          <w:rFonts w:ascii="Calibri" w:hAnsi="Calibri" w:cs="Calibri"/>
          <w:noProof/>
          <w:lang w:eastAsia="fr-FR"/>
        </w:rPr>
        <w:drawing>
          <wp:inline distT="0" distB="0" distL="0" distR="0" wp14:anchorId="2E9CE4EE" wp14:editId="54073ADA">
            <wp:extent cx="5760720" cy="10166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17" t="60686" r="54463" b="36633"/>
                    <a:stretch/>
                  </pic:blipFill>
                  <pic:spPr bwMode="auto">
                    <a:xfrm>
                      <a:off x="0" y="0"/>
                      <a:ext cx="5760720" cy="101667"/>
                    </a:xfrm>
                    <a:prstGeom prst="rect">
                      <a:avLst/>
                    </a:prstGeom>
                    <a:noFill/>
                    <a:ln>
                      <a:noFill/>
                    </a:ln>
                    <a:extLst/>
                  </pic:spPr>
                </pic:pic>
              </a:graphicData>
            </a:graphic>
          </wp:inline>
        </w:drawing>
      </w:r>
    </w:p>
    <w:p w:rsidR="003F5FCA" w:rsidRPr="00BE3DB4" w:rsidRDefault="003F5FCA" w:rsidP="0044607C">
      <w:pPr>
        <w:spacing w:after="0"/>
        <w:rPr>
          <w:rFonts w:ascii="Calibri" w:hAnsi="Calibri" w:cs="Calibri"/>
          <w:b/>
          <w:color w:val="676769" w:themeColor="text2" w:themeShade="BF"/>
          <w:sz w:val="18"/>
          <w:szCs w:val="18"/>
        </w:rPr>
      </w:pPr>
      <w:r w:rsidRPr="00BE3DB4">
        <w:rPr>
          <w:rFonts w:ascii="Calibri" w:hAnsi="Calibri" w:cs="Calibri"/>
          <w:b/>
          <w:color w:val="676769" w:themeColor="text2" w:themeShade="BF"/>
          <w:sz w:val="18"/>
          <w:szCs w:val="18"/>
        </w:rPr>
        <w:t>Le Syndicat Départemental d'Energie 35</w:t>
      </w:r>
    </w:p>
    <w:p w:rsidR="00B7147A" w:rsidRPr="00A70CB0" w:rsidRDefault="00663475" w:rsidP="00AD62FE">
      <w:pPr>
        <w:spacing w:after="0"/>
        <w:jc w:val="both"/>
        <w:rPr>
          <w:rFonts w:ascii="Calibri" w:hAnsi="Calibri" w:cs="Calibri"/>
          <w:color w:val="676769" w:themeColor="text2" w:themeShade="BF"/>
          <w:sz w:val="18"/>
          <w:szCs w:val="18"/>
        </w:rPr>
      </w:pPr>
      <w:r w:rsidRPr="00A70CB0">
        <w:rPr>
          <w:rFonts w:ascii="Calibri" w:hAnsi="Calibri"/>
          <w:color w:val="676769" w:themeColor="text2" w:themeShade="BF"/>
          <w:sz w:val="18"/>
          <w:szCs w:val="18"/>
        </w:rPr>
        <w:t xml:space="preserve">Propriétaire des réseaux de distribution électrique dont il garantit le </w:t>
      </w:r>
      <w:r w:rsidRPr="00A70CB0">
        <w:rPr>
          <w:color w:val="676769" w:themeColor="text2" w:themeShade="BF"/>
          <w:sz w:val="18"/>
          <w:szCs w:val="18"/>
        </w:rPr>
        <w:t>service</w:t>
      </w:r>
      <w:r w:rsidRPr="00A70CB0">
        <w:rPr>
          <w:rFonts w:ascii="Calibri" w:hAnsi="Calibri"/>
          <w:color w:val="676769" w:themeColor="text2" w:themeShade="BF"/>
          <w:sz w:val="18"/>
          <w:szCs w:val="18"/>
        </w:rPr>
        <w:t xml:space="preserve"> public, le Syndicat Départemental d’Energie 35 accompagne les </w:t>
      </w:r>
      <w:r w:rsidR="00A70CB0" w:rsidRPr="00A70CB0">
        <w:rPr>
          <w:rFonts w:ascii="Calibri" w:hAnsi="Calibri"/>
          <w:color w:val="676769" w:themeColor="text2" w:themeShade="BF"/>
          <w:sz w:val="18"/>
          <w:szCs w:val="18"/>
        </w:rPr>
        <w:t>3</w:t>
      </w:r>
      <w:r w:rsidR="008A3B82">
        <w:rPr>
          <w:rFonts w:ascii="Calibri" w:hAnsi="Calibri"/>
          <w:color w:val="676769" w:themeColor="text2" w:themeShade="BF"/>
          <w:sz w:val="18"/>
          <w:szCs w:val="18"/>
        </w:rPr>
        <w:t>3</w:t>
      </w:r>
      <w:r w:rsidR="00A70CB0" w:rsidRPr="00A70CB0">
        <w:rPr>
          <w:rFonts w:ascii="Calibri" w:hAnsi="Calibri"/>
          <w:color w:val="676769" w:themeColor="text2" w:themeShade="BF"/>
          <w:sz w:val="18"/>
          <w:szCs w:val="18"/>
        </w:rPr>
        <w:t xml:space="preserve">3 </w:t>
      </w:r>
      <w:r w:rsidRPr="00A70CB0">
        <w:rPr>
          <w:rFonts w:ascii="Calibri" w:hAnsi="Calibri"/>
          <w:color w:val="676769" w:themeColor="text2" w:themeShade="BF"/>
          <w:sz w:val="18"/>
          <w:szCs w:val="18"/>
        </w:rPr>
        <w:t>co</w:t>
      </w:r>
      <w:r w:rsidR="00A70CB0">
        <w:rPr>
          <w:rFonts w:ascii="Calibri" w:hAnsi="Calibri"/>
          <w:color w:val="676769" w:themeColor="text2" w:themeShade="BF"/>
          <w:sz w:val="18"/>
          <w:szCs w:val="18"/>
        </w:rPr>
        <w:t>mmunes</w:t>
      </w:r>
      <w:r w:rsidRPr="00A70CB0">
        <w:rPr>
          <w:rFonts w:ascii="Calibri" w:hAnsi="Calibri"/>
          <w:color w:val="676769" w:themeColor="text2" w:themeShade="BF"/>
          <w:sz w:val="18"/>
          <w:szCs w:val="18"/>
        </w:rPr>
        <w:t xml:space="preserve"> d’Ille-et-Vilaine dans l’aménagement de leurs territoires et sur la voie de la transition énergétique. Outil de proximité, le SDE35 assure la modernisation des réseaux électriques dans les</w:t>
      </w:r>
      <w:r w:rsidR="007F652F">
        <w:rPr>
          <w:rFonts w:ascii="Calibri" w:hAnsi="Calibri"/>
          <w:color w:val="676769" w:themeColor="text2" w:themeShade="BF"/>
          <w:sz w:val="18"/>
          <w:szCs w:val="18"/>
        </w:rPr>
        <w:t xml:space="preserve"> communes rurales (renforcement, sécurisation, extension</w:t>
      </w:r>
      <w:r w:rsidRPr="00A70CB0">
        <w:rPr>
          <w:rFonts w:ascii="Calibri" w:hAnsi="Calibri"/>
          <w:color w:val="676769" w:themeColor="text2" w:themeShade="BF"/>
          <w:sz w:val="18"/>
          <w:szCs w:val="18"/>
        </w:rPr>
        <w:t>) et leur dissimulation pour l’ensemble des communes.</w:t>
      </w:r>
      <w:r w:rsidRPr="00A70CB0">
        <w:rPr>
          <w:rFonts w:ascii="Calibri" w:hAnsi="Calibri"/>
          <w:color w:val="676769" w:themeColor="text2" w:themeShade="BF"/>
        </w:rPr>
        <w:t xml:space="preserve"> </w:t>
      </w:r>
    </w:p>
    <w:sectPr w:rsidR="00B7147A" w:rsidRPr="00A70CB0" w:rsidSect="00F9491A">
      <w:type w:val="continuous"/>
      <w:pgSz w:w="11906" w:h="16838"/>
      <w:pgMar w:top="1135"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388" w:rsidRDefault="00267388" w:rsidP="008205C8">
      <w:pPr>
        <w:spacing w:after="0" w:line="240" w:lineRule="auto"/>
      </w:pPr>
      <w:r>
        <w:separator/>
      </w:r>
    </w:p>
  </w:endnote>
  <w:endnote w:type="continuationSeparator" w:id="0">
    <w:p w:rsidR="00267388" w:rsidRDefault="00267388" w:rsidP="00820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nacti Rg">
    <w:altName w:val="Arial Nova Cond"/>
    <w:panose1 w:val="00000000000000000000"/>
    <w:charset w:val="00"/>
    <w:family w:val="swiss"/>
    <w:notTrueType/>
    <w:pitch w:val="variable"/>
    <w:sig w:usb0="00000001" w:usb1="5000004B" w:usb2="00000000" w:usb3="00000000" w:csb0="00000183" w:csb1="00000000"/>
  </w:font>
  <w:font w:name="Arial">
    <w:panose1 w:val="020B0604020202020204"/>
    <w:charset w:val="00"/>
    <w:family w:val="swiss"/>
    <w:pitch w:val="variable"/>
    <w:sig w:usb0="E0002EFF" w:usb1="C000785B" w:usb2="00000009" w:usb3="00000000" w:csb0="000001FF" w:csb1="00000000"/>
  </w:font>
  <w:font w:name="ITC Avant Garde Gothic St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388" w:rsidRDefault="00267388" w:rsidP="008205C8">
      <w:pPr>
        <w:spacing w:after="0" w:line="240" w:lineRule="auto"/>
      </w:pPr>
      <w:r>
        <w:separator/>
      </w:r>
    </w:p>
  </w:footnote>
  <w:footnote w:type="continuationSeparator" w:id="0">
    <w:p w:rsidR="00267388" w:rsidRDefault="00267388" w:rsidP="008205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92A"/>
    <w:rsid w:val="00006BD9"/>
    <w:rsid w:val="00006CF0"/>
    <w:rsid w:val="00013A32"/>
    <w:rsid w:val="00044B56"/>
    <w:rsid w:val="00044FC5"/>
    <w:rsid w:val="0004547B"/>
    <w:rsid w:val="00052B00"/>
    <w:rsid w:val="000804C6"/>
    <w:rsid w:val="0008364E"/>
    <w:rsid w:val="00097160"/>
    <w:rsid w:val="000A5D47"/>
    <w:rsid w:val="000A7FC3"/>
    <w:rsid w:val="000B75DC"/>
    <w:rsid w:val="000E4807"/>
    <w:rsid w:val="000F4972"/>
    <w:rsid w:val="001043BF"/>
    <w:rsid w:val="00112653"/>
    <w:rsid w:val="001432D3"/>
    <w:rsid w:val="00170F2C"/>
    <w:rsid w:val="00174523"/>
    <w:rsid w:val="001814FF"/>
    <w:rsid w:val="001B561C"/>
    <w:rsid w:val="001F2076"/>
    <w:rsid w:val="0021559C"/>
    <w:rsid w:val="00222365"/>
    <w:rsid w:val="00241B9B"/>
    <w:rsid w:val="00242F38"/>
    <w:rsid w:val="00243D98"/>
    <w:rsid w:val="0024524A"/>
    <w:rsid w:val="0025031A"/>
    <w:rsid w:val="0025324A"/>
    <w:rsid w:val="00262B18"/>
    <w:rsid w:val="0026382F"/>
    <w:rsid w:val="00267388"/>
    <w:rsid w:val="0026792A"/>
    <w:rsid w:val="0028482C"/>
    <w:rsid w:val="002856C0"/>
    <w:rsid w:val="002C4DCC"/>
    <w:rsid w:val="002D5D98"/>
    <w:rsid w:val="002E76BA"/>
    <w:rsid w:val="002F6589"/>
    <w:rsid w:val="00316657"/>
    <w:rsid w:val="0033622D"/>
    <w:rsid w:val="00381949"/>
    <w:rsid w:val="003B3EA7"/>
    <w:rsid w:val="003B4317"/>
    <w:rsid w:val="003B491E"/>
    <w:rsid w:val="003D0A2B"/>
    <w:rsid w:val="003D246D"/>
    <w:rsid w:val="003D36E1"/>
    <w:rsid w:val="003E572A"/>
    <w:rsid w:val="003F5FCA"/>
    <w:rsid w:val="00433FE6"/>
    <w:rsid w:val="0044607C"/>
    <w:rsid w:val="0045761D"/>
    <w:rsid w:val="004B42C5"/>
    <w:rsid w:val="004B6828"/>
    <w:rsid w:val="004E390D"/>
    <w:rsid w:val="004F6458"/>
    <w:rsid w:val="004F6E5E"/>
    <w:rsid w:val="00530CB6"/>
    <w:rsid w:val="005709D7"/>
    <w:rsid w:val="00573208"/>
    <w:rsid w:val="0058226A"/>
    <w:rsid w:val="005864D5"/>
    <w:rsid w:val="005F159F"/>
    <w:rsid w:val="006157E7"/>
    <w:rsid w:val="00624332"/>
    <w:rsid w:val="006511AF"/>
    <w:rsid w:val="00654FB9"/>
    <w:rsid w:val="00657132"/>
    <w:rsid w:val="00663475"/>
    <w:rsid w:val="00681172"/>
    <w:rsid w:val="006947EF"/>
    <w:rsid w:val="00695D30"/>
    <w:rsid w:val="006965B5"/>
    <w:rsid w:val="006A20CD"/>
    <w:rsid w:val="006C3C66"/>
    <w:rsid w:val="006E39CC"/>
    <w:rsid w:val="006E6616"/>
    <w:rsid w:val="006F4FDF"/>
    <w:rsid w:val="00746372"/>
    <w:rsid w:val="00757FC4"/>
    <w:rsid w:val="007634D8"/>
    <w:rsid w:val="00764D4F"/>
    <w:rsid w:val="0076613D"/>
    <w:rsid w:val="0077214D"/>
    <w:rsid w:val="007B7864"/>
    <w:rsid w:val="007C17DA"/>
    <w:rsid w:val="007D4CCB"/>
    <w:rsid w:val="007F652F"/>
    <w:rsid w:val="0081085B"/>
    <w:rsid w:val="00815AA6"/>
    <w:rsid w:val="008205C8"/>
    <w:rsid w:val="00826633"/>
    <w:rsid w:val="00865C50"/>
    <w:rsid w:val="00883F10"/>
    <w:rsid w:val="008A3B82"/>
    <w:rsid w:val="008B3136"/>
    <w:rsid w:val="008B7BC6"/>
    <w:rsid w:val="008C435B"/>
    <w:rsid w:val="008C6131"/>
    <w:rsid w:val="008D1CFA"/>
    <w:rsid w:val="008D2722"/>
    <w:rsid w:val="008F0417"/>
    <w:rsid w:val="009018E3"/>
    <w:rsid w:val="00912DB4"/>
    <w:rsid w:val="00933CB0"/>
    <w:rsid w:val="00947A6F"/>
    <w:rsid w:val="00984B04"/>
    <w:rsid w:val="0099014A"/>
    <w:rsid w:val="009A27FD"/>
    <w:rsid w:val="009B531B"/>
    <w:rsid w:val="009B60DE"/>
    <w:rsid w:val="009C3E02"/>
    <w:rsid w:val="00A1694F"/>
    <w:rsid w:val="00A2743F"/>
    <w:rsid w:val="00A456B3"/>
    <w:rsid w:val="00A544B2"/>
    <w:rsid w:val="00A64D13"/>
    <w:rsid w:val="00A700C1"/>
    <w:rsid w:val="00A70CB0"/>
    <w:rsid w:val="00A81EBC"/>
    <w:rsid w:val="00A84167"/>
    <w:rsid w:val="00A85015"/>
    <w:rsid w:val="00A91858"/>
    <w:rsid w:val="00AB2986"/>
    <w:rsid w:val="00AB698F"/>
    <w:rsid w:val="00AD3C70"/>
    <w:rsid w:val="00AD62FE"/>
    <w:rsid w:val="00AD7D74"/>
    <w:rsid w:val="00AF79B1"/>
    <w:rsid w:val="00B05E7D"/>
    <w:rsid w:val="00B143D3"/>
    <w:rsid w:val="00B55212"/>
    <w:rsid w:val="00B7147A"/>
    <w:rsid w:val="00B71C62"/>
    <w:rsid w:val="00B77EDD"/>
    <w:rsid w:val="00BD2A58"/>
    <w:rsid w:val="00BE1BC4"/>
    <w:rsid w:val="00BE242C"/>
    <w:rsid w:val="00BE3DB4"/>
    <w:rsid w:val="00BF5570"/>
    <w:rsid w:val="00C23665"/>
    <w:rsid w:val="00C23FB0"/>
    <w:rsid w:val="00C3297A"/>
    <w:rsid w:val="00C62027"/>
    <w:rsid w:val="00C75301"/>
    <w:rsid w:val="00C8698F"/>
    <w:rsid w:val="00CA041B"/>
    <w:rsid w:val="00CA4881"/>
    <w:rsid w:val="00CD165D"/>
    <w:rsid w:val="00CF5FF6"/>
    <w:rsid w:val="00D07E73"/>
    <w:rsid w:val="00D14997"/>
    <w:rsid w:val="00D16BF7"/>
    <w:rsid w:val="00D56845"/>
    <w:rsid w:val="00D7290A"/>
    <w:rsid w:val="00D93514"/>
    <w:rsid w:val="00DB62E2"/>
    <w:rsid w:val="00DC4D19"/>
    <w:rsid w:val="00DC4EF7"/>
    <w:rsid w:val="00DE7220"/>
    <w:rsid w:val="00DF2A8E"/>
    <w:rsid w:val="00E14583"/>
    <w:rsid w:val="00E163F3"/>
    <w:rsid w:val="00E17A9C"/>
    <w:rsid w:val="00E21AC2"/>
    <w:rsid w:val="00E6123B"/>
    <w:rsid w:val="00E71B5C"/>
    <w:rsid w:val="00E8155E"/>
    <w:rsid w:val="00E96CA8"/>
    <w:rsid w:val="00EA351C"/>
    <w:rsid w:val="00EC528F"/>
    <w:rsid w:val="00ED508B"/>
    <w:rsid w:val="00ED55B4"/>
    <w:rsid w:val="00EE3AF9"/>
    <w:rsid w:val="00F01F18"/>
    <w:rsid w:val="00F04DB8"/>
    <w:rsid w:val="00F33154"/>
    <w:rsid w:val="00F6797F"/>
    <w:rsid w:val="00F91126"/>
    <w:rsid w:val="00F9491A"/>
    <w:rsid w:val="00F97661"/>
    <w:rsid w:val="00FB6935"/>
    <w:rsid w:val="00FC0787"/>
    <w:rsid w:val="00FC09BA"/>
    <w:rsid w:val="00FC25A1"/>
    <w:rsid w:val="00FE451F"/>
    <w:rsid w:val="00FF041C"/>
    <w:rsid w:val="00FF16E6"/>
    <w:rsid w:val="00FF1A48"/>
    <w:rsid w:val="00FF39C0"/>
    <w:rsid w:val="00FF3B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C4D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E3D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3DB4"/>
    <w:rPr>
      <w:rFonts w:ascii="Tahoma" w:hAnsi="Tahoma" w:cs="Tahoma"/>
      <w:sz w:val="16"/>
      <w:szCs w:val="16"/>
    </w:rPr>
  </w:style>
  <w:style w:type="character" w:styleId="Lienhypertexte">
    <w:name w:val="Hyperlink"/>
    <w:basedOn w:val="Policepardfaut"/>
    <w:uiPriority w:val="99"/>
    <w:unhideWhenUsed/>
    <w:rsid w:val="00947A6F"/>
    <w:rPr>
      <w:color w:val="000000" w:themeColor="hyperlink"/>
      <w:u w:val="single"/>
    </w:rPr>
  </w:style>
  <w:style w:type="paragraph" w:styleId="En-tte">
    <w:name w:val="header"/>
    <w:basedOn w:val="Normal"/>
    <w:link w:val="En-tteCar"/>
    <w:uiPriority w:val="99"/>
    <w:unhideWhenUsed/>
    <w:rsid w:val="008205C8"/>
    <w:pPr>
      <w:tabs>
        <w:tab w:val="center" w:pos="4536"/>
        <w:tab w:val="right" w:pos="9072"/>
      </w:tabs>
      <w:spacing w:after="0" w:line="240" w:lineRule="auto"/>
    </w:pPr>
  </w:style>
  <w:style w:type="character" w:customStyle="1" w:styleId="En-tteCar">
    <w:name w:val="En-tête Car"/>
    <w:basedOn w:val="Policepardfaut"/>
    <w:link w:val="En-tte"/>
    <w:uiPriority w:val="99"/>
    <w:rsid w:val="008205C8"/>
  </w:style>
  <w:style w:type="paragraph" w:styleId="Pieddepage">
    <w:name w:val="footer"/>
    <w:basedOn w:val="Normal"/>
    <w:link w:val="PieddepageCar"/>
    <w:uiPriority w:val="99"/>
    <w:unhideWhenUsed/>
    <w:rsid w:val="008205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05C8"/>
  </w:style>
  <w:style w:type="character" w:customStyle="1" w:styleId="st">
    <w:name w:val="st"/>
    <w:basedOn w:val="Policepardfaut"/>
    <w:rsid w:val="00B143D3"/>
  </w:style>
  <w:style w:type="table" w:styleId="Grilledutableau">
    <w:name w:val="Table Grid"/>
    <w:basedOn w:val="TableauNormal"/>
    <w:uiPriority w:val="59"/>
    <w:rsid w:val="002F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044FC5"/>
    <w:rPr>
      <w:b/>
      <w:bCs/>
    </w:rPr>
  </w:style>
  <w:style w:type="character" w:customStyle="1" w:styleId="Titre1Car">
    <w:name w:val="Titre 1 Car"/>
    <w:basedOn w:val="Policepardfaut"/>
    <w:link w:val="Titre1"/>
    <w:uiPriority w:val="9"/>
    <w:rsid w:val="002C4DCC"/>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2C4DC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C4D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E3D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3DB4"/>
    <w:rPr>
      <w:rFonts w:ascii="Tahoma" w:hAnsi="Tahoma" w:cs="Tahoma"/>
      <w:sz w:val="16"/>
      <w:szCs w:val="16"/>
    </w:rPr>
  </w:style>
  <w:style w:type="character" w:styleId="Lienhypertexte">
    <w:name w:val="Hyperlink"/>
    <w:basedOn w:val="Policepardfaut"/>
    <w:uiPriority w:val="99"/>
    <w:unhideWhenUsed/>
    <w:rsid w:val="00947A6F"/>
    <w:rPr>
      <w:color w:val="000000" w:themeColor="hyperlink"/>
      <w:u w:val="single"/>
    </w:rPr>
  </w:style>
  <w:style w:type="paragraph" w:styleId="En-tte">
    <w:name w:val="header"/>
    <w:basedOn w:val="Normal"/>
    <w:link w:val="En-tteCar"/>
    <w:uiPriority w:val="99"/>
    <w:unhideWhenUsed/>
    <w:rsid w:val="008205C8"/>
    <w:pPr>
      <w:tabs>
        <w:tab w:val="center" w:pos="4536"/>
        <w:tab w:val="right" w:pos="9072"/>
      </w:tabs>
      <w:spacing w:after="0" w:line="240" w:lineRule="auto"/>
    </w:pPr>
  </w:style>
  <w:style w:type="character" w:customStyle="1" w:styleId="En-tteCar">
    <w:name w:val="En-tête Car"/>
    <w:basedOn w:val="Policepardfaut"/>
    <w:link w:val="En-tte"/>
    <w:uiPriority w:val="99"/>
    <w:rsid w:val="008205C8"/>
  </w:style>
  <w:style w:type="paragraph" w:styleId="Pieddepage">
    <w:name w:val="footer"/>
    <w:basedOn w:val="Normal"/>
    <w:link w:val="PieddepageCar"/>
    <w:uiPriority w:val="99"/>
    <w:unhideWhenUsed/>
    <w:rsid w:val="008205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05C8"/>
  </w:style>
  <w:style w:type="character" w:customStyle="1" w:styleId="st">
    <w:name w:val="st"/>
    <w:basedOn w:val="Policepardfaut"/>
    <w:rsid w:val="00B143D3"/>
  </w:style>
  <w:style w:type="table" w:styleId="Grilledutableau">
    <w:name w:val="Table Grid"/>
    <w:basedOn w:val="TableauNormal"/>
    <w:uiPriority w:val="59"/>
    <w:rsid w:val="002F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044FC5"/>
    <w:rPr>
      <w:b/>
      <w:bCs/>
    </w:rPr>
  </w:style>
  <w:style w:type="character" w:customStyle="1" w:styleId="Titre1Car">
    <w:name w:val="Titre 1 Car"/>
    <w:basedOn w:val="Policepardfaut"/>
    <w:link w:val="Titre1"/>
    <w:uiPriority w:val="9"/>
    <w:rsid w:val="002C4DCC"/>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2C4DC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229445">
      <w:bodyDiv w:val="1"/>
      <w:marLeft w:val="0"/>
      <w:marRight w:val="0"/>
      <w:marTop w:val="0"/>
      <w:marBottom w:val="0"/>
      <w:divBdr>
        <w:top w:val="none" w:sz="0" w:space="0" w:color="auto"/>
        <w:left w:val="none" w:sz="0" w:space="0" w:color="auto"/>
        <w:bottom w:val="none" w:sz="0" w:space="0" w:color="auto"/>
        <w:right w:val="none" w:sz="0" w:space="0" w:color="auto"/>
      </w:divBdr>
    </w:div>
    <w:div w:id="1361665469">
      <w:bodyDiv w:val="1"/>
      <w:marLeft w:val="0"/>
      <w:marRight w:val="0"/>
      <w:marTop w:val="0"/>
      <w:marBottom w:val="0"/>
      <w:divBdr>
        <w:top w:val="none" w:sz="0" w:space="0" w:color="auto"/>
        <w:left w:val="none" w:sz="0" w:space="0" w:color="auto"/>
        <w:bottom w:val="none" w:sz="0" w:space="0" w:color="auto"/>
        <w:right w:val="none" w:sz="0" w:space="0" w:color="auto"/>
      </w:divBdr>
      <w:divsChild>
        <w:div w:id="797340879">
          <w:marLeft w:val="0"/>
          <w:marRight w:val="0"/>
          <w:marTop w:val="0"/>
          <w:marBottom w:val="0"/>
          <w:divBdr>
            <w:top w:val="none" w:sz="0" w:space="0" w:color="auto"/>
            <w:left w:val="none" w:sz="0" w:space="0" w:color="auto"/>
            <w:bottom w:val="none" w:sz="0" w:space="0" w:color="auto"/>
            <w:right w:val="none" w:sz="0" w:space="0" w:color="auto"/>
          </w:divBdr>
        </w:div>
      </w:divsChild>
    </w:div>
    <w:div w:id="175369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lanternier@sde35.fr/" TargetMode="External"/></Relationships>
</file>

<file path=word/theme/theme1.xml><?xml version="1.0" encoding="utf-8"?>
<a:theme xmlns:a="http://schemas.openxmlformats.org/drawingml/2006/main" name="Thème Office">
  <a:themeElements>
    <a:clrScheme name="SDE35">
      <a:dk1>
        <a:sysClr val="windowText" lastClr="000000"/>
      </a:dk1>
      <a:lt1>
        <a:sysClr val="window" lastClr="FFFFFF"/>
      </a:lt1>
      <a:dk2>
        <a:srgbClr val="8A8B8D"/>
      </a:dk2>
      <a:lt2>
        <a:srgbClr val="EEECE1"/>
      </a:lt2>
      <a:accent1>
        <a:srgbClr val="DF551A"/>
      </a:accent1>
      <a:accent2>
        <a:srgbClr val="70C3C6"/>
      </a:accent2>
      <a:accent3>
        <a:srgbClr val="C2D026"/>
      </a:accent3>
      <a:accent4>
        <a:srgbClr val="8064A2"/>
      </a:accent4>
      <a:accent5>
        <a:srgbClr val="F79646"/>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72DF6-A427-420B-AB32-569FD7632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463</Words>
  <Characters>2549</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Le Gentil</dc:creator>
  <cp:lastModifiedBy>Sophie LANTERNIER</cp:lastModifiedBy>
  <cp:revision>4</cp:revision>
  <cp:lastPrinted>2019-05-02T11:29:00Z</cp:lastPrinted>
  <dcterms:created xsi:type="dcterms:W3CDTF">2019-10-16T06:37:00Z</dcterms:created>
  <dcterms:modified xsi:type="dcterms:W3CDTF">2020-06-17T14:25:00Z</dcterms:modified>
</cp:coreProperties>
</file>